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C0940" w14:textId="710C5A96" w:rsidR="006170B5" w:rsidRPr="006170B5" w:rsidRDefault="006170B5" w:rsidP="006170B5">
      <w:pPr>
        <w:jc w:val="right"/>
        <w:rPr>
          <w:rFonts w:ascii="Poppins" w:hAnsi="Poppins" w:cs="Poppins"/>
          <w:sz w:val="20"/>
          <w:szCs w:val="20"/>
        </w:rPr>
      </w:pPr>
      <w:r w:rsidRPr="006170B5">
        <w:rPr>
          <w:rFonts w:ascii="Poppins" w:hAnsi="Poppins" w:cs="Poppins"/>
          <w:sz w:val="20"/>
          <w:szCs w:val="20"/>
        </w:rPr>
        <w:t xml:space="preserve">Warszawa, </w:t>
      </w:r>
      <w:r w:rsidR="008C55BD">
        <w:rPr>
          <w:rFonts w:ascii="Poppins" w:hAnsi="Poppins" w:cs="Poppins"/>
          <w:sz w:val="20"/>
          <w:szCs w:val="20"/>
        </w:rPr>
        <w:t>2</w:t>
      </w:r>
      <w:r w:rsidR="00C627CF">
        <w:rPr>
          <w:rFonts w:ascii="Poppins" w:hAnsi="Poppins" w:cs="Poppins"/>
          <w:sz w:val="20"/>
          <w:szCs w:val="20"/>
        </w:rPr>
        <w:t>2</w:t>
      </w:r>
      <w:r w:rsidR="00BF2F46">
        <w:rPr>
          <w:rFonts w:ascii="Poppins" w:hAnsi="Poppins" w:cs="Poppins"/>
          <w:sz w:val="20"/>
          <w:szCs w:val="20"/>
        </w:rPr>
        <w:t>.</w:t>
      </w:r>
      <w:r w:rsidR="001A137B">
        <w:rPr>
          <w:rFonts w:ascii="Poppins" w:hAnsi="Poppins" w:cs="Poppins"/>
          <w:sz w:val="20"/>
          <w:szCs w:val="20"/>
        </w:rPr>
        <w:t>1</w:t>
      </w:r>
      <w:r w:rsidR="00244399">
        <w:rPr>
          <w:rFonts w:ascii="Poppins" w:hAnsi="Poppins" w:cs="Poppins"/>
          <w:sz w:val="20"/>
          <w:szCs w:val="20"/>
        </w:rPr>
        <w:t>1</w:t>
      </w:r>
      <w:r w:rsidR="00BF2F46">
        <w:rPr>
          <w:rFonts w:ascii="Poppins" w:hAnsi="Poppins" w:cs="Poppins"/>
          <w:sz w:val="20"/>
          <w:szCs w:val="20"/>
        </w:rPr>
        <w:t>.202</w:t>
      </w:r>
      <w:r w:rsidR="00AF29C6">
        <w:rPr>
          <w:rFonts w:ascii="Poppins" w:hAnsi="Poppins" w:cs="Poppins"/>
          <w:sz w:val="20"/>
          <w:szCs w:val="20"/>
        </w:rPr>
        <w:t>3</w:t>
      </w:r>
      <w:r w:rsidR="00BF2F46">
        <w:rPr>
          <w:rFonts w:ascii="Poppins" w:hAnsi="Poppins" w:cs="Poppins"/>
          <w:sz w:val="20"/>
          <w:szCs w:val="20"/>
        </w:rPr>
        <w:t xml:space="preserve"> r.</w:t>
      </w:r>
    </w:p>
    <w:p w14:paraId="71BEDF8E" w14:textId="4A2EF74C" w:rsidR="00293F01" w:rsidRPr="00293F01" w:rsidRDefault="00293F01" w:rsidP="00FB7A20">
      <w:pPr>
        <w:rPr>
          <w:rFonts w:ascii="Poppins" w:hAnsi="Poppins" w:cs="Poppins"/>
          <w:sz w:val="24"/>
          <w:szCs w:val="24"/>
        </w:rPr>
      </w:pPr>
      <w:r w:rsidRPr="00293F01">
        <w:rPr>
          <w:rFonts w:ascii="Poppins" w:hAnsi="Poppins" w:cs="Poppins"/>
          <w:sz w:val="24"/>
          <w:szCs w:val="24"/>
        </w:rPr>
        <w:t xml:space="preserve">Autor: </w:t>
      </w:r>
      <w:r w:rsidR="00BF2F46">
        <w:rPr>
          <w:rFonts w:ascii="Poppins" w:hAnsi="Poppins" w:cs="Poppins"/>
          <w:sz w:val="24"/>
          <w:szCs w:val="24"/>
        </w:rPr>
        <w:t>Jarosław Jędrzyński</w:t>
      </w:r>
      <w:r w:rsidR="00B050F4">
        <w:rPr>
          <w:rFonts w:ascii="Poppins" w:hAnsi="Poppins" w:cs="Poppins"/>
          <w:sz w:val="24"/>
          <w:szCs w:val="24"/>
        </w:rPr>
        <w:t>, ekspert portalu RynekPierwotny.pl</w:t>
      </w:r>
    </w:p>
    <w:p w14:paraId="192D3BF8" w14:textId="189CDBBB" w:rsidR="007F6FAC" w:rsidRPr="00B050F4" w:rsidRDefault="001867D6" w:rsidP="002F041C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b/>
          <w:bCs/>
          <w:sz w:val="40"/>
          <w:szCs w:val="40"/>
          <w:lang w:eastAsia="pl-PL"/>
        </w:rPr>
      </w:pPr>
      <w:r w:rsidRPr="00B050F4">
        <w:rPr>
          <w:rFonts w:ascii="Poppins" w:eastAsia="Times New Roman" w:hAnsi="Poppins" w:cs="Poppins"/>
          <w:b/>
          <w:bCs/>
          <w:sz w:val="40"/>
          <w:szCs w:val="40"/>
          <w:lang w:eastAsia="pl-PL"/>
        </w:rPr>
        <w:t>Jesienne ożywienie w d</w:t>
      </w:r>
      <w:r w:rsidR="00122085" w:rsidRPr="00B050F4">
        <w:rPr>
          <w:rFonts w:ascii="Poppins" w:eastAsia="Times New Roman" w:hAnsi="Poppins" w:cs="Poppins"/>
          <w:b/>
          <w:bCs/>
          <w:sz w:val="40"/>
          <w:szCs w:val="40"/>
          <w:lang w:eastAsia="pl-PL"/>
        </w:rPr>
        <w:t>an</w:t>
      </w:r>
      <w:r w:rsidRPr="00B050F4">
        <w:rPr>
          <w:rFonts w:ascii="Poppins" w:eastAsia="Times New Roman" w:hAnsi="Poppins" w:cs="Poppins"/>
          <w:b/>
          <w:bCs/>
          <w:sz w:val="40"/>
          <w:szCs w:val="40"/>
          <w:lang w:eastAsia="pl-PL"/>
        </w:rPr>
        <w:t>ych</w:t>
      </w:r>
      <w:r w:rsidR="00122085" w:rsidRPr="00B050F4">
        <w:rPr>
          <w:rFonts w:ascii="Poppins" w:eastAsia="Times New Roman" w:hAnsi="Poppins" w:cs="Poppins"/>
          <w:b/>
          <w:bCs/>
          <w:sz w:val="40"/>
          <w:szCs w:val="40"/>
          <w:lang w:eastAsia="pl-PL"/>
        </w:rPr>
        <w:t xml:space="preserve"> GUS b</w:t>
      </w:r>
      <w:r w:rsidR="00B14811" w:rsidRPr="00B050F4">
        <w:rPr>
          <w:rFonts w:ascii="Poppins" w:eastAsia="Times New Roman" w:hAnsi="Poppins" w:cs="Poppins"/>
          <w:b/>
          <w:bCs/>
          <w:sz w:val="40"/>
          <w:szCs w:val="40"/>
          <w:lang w:eastAsia="pl-PL"/>
        </w:rPr>
        <w:t>udownictw</w:t>
      </w:r>
      <w:r w:rsidR="00A30585" w:rsidRPr="00B050F4">
        <w:rPr>
          <w:rFonts w:ascii="Poppins" w:eastAsia="Times New Roman" w:hAnsi="Poppins" w:cs="Poppins"/>
          <w:b/>
          <w:bCs/>
          <w:sz w:val="40"/>
          <w:szCs w:val="40"/>
          <w:lang w:eastAsia="pl-PL"/>
        </w:rPr>
        <w:t>a</w:t>
      </w:r>
      <w:r w:rsidR="00B14811" w:rsidRPr="00B050F4">
        <w:rPr>
          <w:rFonts w:ascii="Poppins" w:eastAsia="Times New Roman" w:hAnsi="Poppins" w:cs="Poppins"/>
          <w:b/>
          <w:bCs/>
          <w:sz w:val="40"/>
          <w:szCs w:val="40"/>
          <w:lang w:eastAsia="pl-PL"/>
        </w:rPr>
        <w:t xml:space="preserve"> mieszkaniowe</w:t>
      </w:r>
      <w:r w:rsidR="00A30585" w:rsidRPr="00B050F4">
        <w:rPr>
          <w:rFonts w:ascii="Poppins" w:eastAsia="Times New Roman" w:hAnsi="Poppins" w:cs="Poppins"/>
          <w:b/>
          <w:bCs/>
          <w:sz w:val="40"/>
          <w:szCs w:val="40"/>
          <w:lang w:eastAsia="pl-PL"/>
        </w:rPr>
        <w:t>go</w:t>
      </w:r>
      <w:r w:rsidR="001D2F4A" w:rsidRPr="00B050F4">
        <w:rPr>
          <w:rFonts w:ascii="Poppins" w:eastAsia="Times New Roman" w:hAnsi="Poppins" w:cs="Poppins"/>
          <w:b/>
          <w:bCs/>
          <w:sz w:val="40"/>
          <w:szCs w:val="40"/>
          <w:lang w:eastAsia="pl-PL"/>
        </w:rPr>
        <w:t xml:space="preserve"> </w:t>
      </w:r>
    </w:p>
    <w:p w14:paraId="3AF86058" w14:textId="1033B5DE" w:rsidR="007F6FAC" w:rsidRPr="00B050F4" w:rsidRDefault="007F6FAC" w:rsidP="007F6FAC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b/>
          <w:bCs/>
        </w:rPr>
      </w:pPr>
      <w:r w:rsidRPr="00B050F4">
        <w:rPr>
          <w:rFonts w:ascii="Poppins" w:eastAsia="Times New Roman" w:hAnsi="Poppins" w:cs="Poppins"/>
          <w:b/>
          <w:bCs/>
          <w:lang w:val="ru-RU"/>
        </w:rPr>
        <w:t>Najnowsz</w:t>
      </w:r>
      <w:r w:rsidR="009778CD" w:rsidRPr="00B050F4">
        <w:rPr>
          <w:rFonts w:ascii="Poppins" w:eastAsia="Times New Roman" w:hAnsi="Poppins" w:cs="Poppins"/>
          <w:b/>
          <w:bCs/>
        </w:rPr>
        <w:t>a informacja</w:t>
      </w:r>
      <w:r w:rsidRPr="00B050F4">
        <w:rPr>
          <w:rFonts w:ascii="Poppins" w:eastAsia="Times New Roman" w:hAnsi="Poppins" w:cs="Poppins"/>
          <w:b/>
          <w:bCs/>
          <w:lang w:val="ru-RU"/>
        </w:rPr>
        <w:t xml:space="preserve"> GUS, prezentując</w:t>
      </w:r>
      <w:r w:rsidR="009778CD" w:rsidRPr="00B050F4">
        <w:rPr>
          <w:rFonts w:ascii="Poppins" w:eastAsia="Times New Roman" w:hAnsi="Poppins" w:cs="Poppins"/>
          <w:b/>
          <w:bCs/>
        </w:rPr>
        <w:t>a</w:t>
      </w:r>
      <w:r w:rsidRPr="00B050F4">
        <w:rPr>
          <w:rFonts w:ascii="Poppins" w:eastAsia="Times New Roman" w:hAnsi="Poppins" w:cs="Poppins"/>
          <w:b/>
          <w:bCs/>
          <w:lang w:val="ru-RU"/>
        </w:rPr>
        <w:t xml:space="preserve"> </w:t>
      </w:r>
      <w:r w:rsidR="00284EEC" w:rsidRPr="00B050F4">
        <w:rPr>
          <w:rFonts w:ascii="Poppins" w:eastAsia="Times New Roman" w:hAnsi="Poppins" w:cs="Poppins"/>
          <w:b/>
          <w:bCs/>
        </w:rPr>
        <w:t xml:space="preserve">dane </w:t>
      </w:r>
      <w:r w:rsidRPr="00B050F4">
        <w:rPr>
          <w:rFonts w:ascii="Poppins" w:eastAsia="Times New Roman" w:hAnsi="Poppins" w:cs="Poppins"/>
          <w:b/>
          <w:bCs/>
          <w:lang w:val="ru-RU"/>
        </w:rPr>
        <w:t xml:space="preserve">budownictwa mieszkaniowego </w:t>
      </w:r>
      <w:r w:rsidR="001D2F4A" w:rsidRPr="00B050F4">
        <w:rPr>
          <w:rFonts w:ascii="Poppins" w:eastAsia="Times New Roman" w:hAnsi="Poppins" w:cs="Poppins"/>
          <w:b/>
          <w:bCs/>
        </w:rPr>
        <w:t xml:space="preserve">w październiku </w:t>
      </w:r>
      <w:r w:rsidR="00AD0D82" w:rsidRPr="00B050F4">
        <w:rPr>
          <w:rFonts w:ascii="Poppins" w:eastAsia="Times New Roman" w:hAnsi="Poppins" w:cs="Poppins"/>
          <w:b/>
          <w:bCs/>
        </w:rPr>
        <w:t xml:space="preserve">oraz dziesięciu miesiącach </w:t>
      </w:r>
      <w:r w:rsidR="00AD0D82" w:rsidRPr="00B050F4">
        <w:rPr>
          <w:rFonts w:ascii="Poppins" w:eastAsia="Times New Roman" w:hAnsi="Poppins" w:cs="Poppins"/>
          <w:b/>
          <w:bCs/>
          <w:lang w:val="ru-RU"/>
        </w:rPr>
        <w:t>bieżącego roku</w:t>
      </w:r>
      <w:r w:rsidRPr="00B050F4">
        <w:rPr>
          <w:rFonts w:ascii="Poppins" w:eastAsia="Times New Roman" w:hAnsi="Poppins" w:cs="Poppins"/>
          <w:b/>
          <w:bCs/>
          <w:lang w:val="ru-RU"/>
        </w:rPr>
        <w:t>,</w:t>
      </w:r>
      <w:r w:rsidR="001554DB" w:rsidRPr="00B050F4">
        <w:rPr>
          <w:rFonts w:ascii="Poppins" w:eastAsia="Times New Roman" w:hAnsi="Poppins" w:cs="Poppins"/>
          <w:b/>
          <w:bCs/>
        </w:rPr>
        <w:t xml:space="preserve"> </w:t>
      </w:r>
      <w:r w:rsidR="001867D6" w:rsidRPr="00B050F4">
        <w:rPr>
          <w:rFonts w:ascii="Poppins" w:eastAsia="Times New Roman" w:hAnsi="Poppins" w:cs="Poppins"/>
          <w:b/>
          <w:bCs/>
        </w:rPr>
        <w:t xml:space="preserve">zakomunikowała dość niespodziewane przełamanie </w:t>
      </w:r>
      <w:r w:rsidR="00284EEC" w:rsidRPr="00B050F4">
        <w:rPr>
          <w:rFonts w:ascii="Poppins" w:eastAsia="Times New Roman" w:hAnsi="Poppins" w:cs="Poppins"/>
          <w:b/>
          <w:bCs/>
        </w:rPr>
        <w:t>trwającego</w:t>
      </w:r>
      <w:r w:rsidR="001867D6" w:rsidRPr="00B050F4">
        <w:rPr>
          <w:rFonts w:ascii="Poppins" w:eastAsia="Times New Roman" w:hAnsi="Poppins" w:cs="Poppins"/>
          <w:b/>
          <w:bCs/>
        </w:rPr>
        <w:t xml:space="preserve"> od tegorocznego marca korekcyjnego trendu </w:t>
      </w:r>
      <w:r w:rsidR="00284EEC" w:rsidRPr="00B050F4">
        <w:rPr>
          <w:rFonts w:ascii="Poppins" w:eastAsia="Times New Roman" w:hAnsi="Poppins" w:cs="Poppins"/>
          <w:b/>
          <w:bCs/>
        </w:rPr>
        <w:t xml:space="preserve">nowych inwestycji deweloperskich, czyli najważniejszych statystyk z punktu widzenia oceny bieżącego stanu koniunktury. </w:t>
      </w:r>
      <w:r w:rsidR="001D2F4A" w:rsidRPr="00B050F4">
        <w:rPr>
          <w:rFonts w:ascii="Poppins" w:eastAsia="Times New Roman" w:hAnsi="Poppins" w:cs="Poppins"/>
          <w:b/>
          <w:bCs/>
        </w:rPr>
        <w:t xml:space="preserve">Pytanie, czy </w:t>
      </w:r>
      <w:r w:rsidR="00284EEC" w:rsidRPr="00B050F4">
        <w:rPr>
          <w:rFonts w:ascii="Poppins" w:eastAsia="Times New Roman" w:hAnsi="Poppins" w:cs="Poppins"/>
          <w:b/>
          <w:bCs/>
        </w:rPr>
        <w:t xml:space="preserve">październikowa </w:t>
      </w:r>
      <w:r w:rsidR="00BA7DDD" w:rsidRPr="00B050F4">
        <w:rPr>
          <w:rFonts w:ascii="Poppins" w:eastAsia="Times New Roman" w:hAnsi="Poppins" w:cs="Poppins"/>
          <w:b/>
          <w:bCs/>
        </w:rPr>
        <w:t>aktywnoś</w:t>
      </w:r>
      <w:r w:rsidR="001554DB" w:rsidRPr="00B050F4">
        <w:rPr>
          <w:rFonts w:ascii="Poppins" w:eastAsia="Times New Roman" w:hAnsi="Poppins" w:cs="Poppins"/>
          <w:b/>
          <w:bCs/>
        </w:rPr>
        <w:t>ć</w:t>
      </w:r>
      <w:r w:rsidR="00BA7DDD" w:rsidRPr="00B050F4">
        <w:rPr>
          <w:rFonts w:ascii="Poppins" w:eastAsia="Times New Roman" w:hAnsi="Poppins" w:cs="Poppins"/>
          <w:b/>
          <w:bCs/>
        </w:rPr>
        <w:t xml:space="preserve"> inwestycyjn</w:t>
      </w:r>
      <w:r w:rsidR="004616F8" w:rsidRPr="00B050F4">
        <w:rPr>
          <w:rFonts w:ascii="Poppins" w:eastAsia="Times New Roman" w:hAnsi="Poppins" w:cs="Poppins"/>
          <w:b/>
          <w:bCs/>
        </w:rPr>
        <w:t>a</w:t>
      </w:r>
      <w:r w:rsidR="00BA7DDD" w:rsidRPr="00B050F4">
        <w:rPr>
          <w:rFonts w:ascii="Poppins" w:eastAsia="Times New Roman" w:hAnsi="Poppins" w:cs="Poppins"/>
          <w:b/>
          <w:bCs/>
        </w:rPr>
        <w:t xml:space="preserve"> deweloperów, </w:t>
      </w:r>
      <w:r w:rsidR="00284EEC" w:rsidRPr="00B050F4">
        <w:rPr>
          <w:rFonts w:ascii="Poppins" w:eastAsia="Times New Roman" w:hAnsi="Poppins" w:cs="Poppins"/>
          <w:b/>
          <w:bCs/>
        </w:rPr>
        <w:t>najwyższa od czerwca 2022</w:t>
      </w:r>
      <w:r w:rsidR="000A5AA7" w:rsidRPr="00B050F4">
        <w:rPr>
          <w:rFonts w:ascii="Poppins" w:eastAsia="Times New Roman" w:hAnsi="Poppins" w:cs="Poppins"/>
          <w:b/>
          <w:bCs/>
        </w:rPr>
        <w:t xml:space="preserve"> </w:t>
      </w:r>
      <w:r w:rsidR="00284EEC" w:rsidRPr="00B050F4">
        <w:rPr>
          <w:rFonts w:ascii="Poppins" w:eastAsia="Times New Roman" w:hAnsi="Poppins" w:cs="Poppins"/>
          <w:b/>
          <w:bCs/>
        </w:rPr>
        <w:t>roku</w:t>
      </w:r>
      <w:r w:rsidR="00FF3AAC" w:rsidRPr="00B050F4">
        <w:rPr>
          <w:rFonts w:ascii="Poppins" w:eastAsia="Times New Roman" w:hAnsi="Poppins" w:cs="Poppins"/>
          <w:b/>
          <w:bCs/>
        </w:rPr>
        <w:t xml:space="preserve">, </w:t>
      </w:r>
      <w:r w:rsidR="00284EEC" w:rsidRPr="00B050F4">
        <w:rPr>
          <w:rFonts w:ascii="Poppins" w:eastAsia="Times New Roman" w:hAnsi="Poppins" w:cs="Poppins"/>
          <w:b/>
          <w:bCs/>
        </w:rPr>
        <w:t>oznacza coś więcej niż przypadkowe jednorazowe wybicie statystyk.</w:t>
      </w:r>
    </w:p>
    <w:p w14:paraId="5DB00CBB" w14:textId="316F2D32" w:rsidR="00AF29C6" w:rsidRPr="00B050F4" w:rsidRDefault="00FF3AAC" w:rsidP="007F6FAC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</w:rPr>
      </w:pPr>
      <w:r w:rsidRPr="00B050F4">
        <w:rPr>
          <w:rFonts w:ascii="Poppins" w:eastAsia="Times New Roman" w:hAnsi="Poppins" w:cs="Poppins"/>
        </w:rPr>
        <w:t>W październiku</w:t>
      </w:r>
      <w:r w:rsidR="00D74F92" w:rsidRPr="00B050F4">
        <w:rPr>
          <w:rFonts w:ascii="Poppins" w:eastAsia="Times New Roman" w:hAnsi="Poppins" w:cs="Poppins"/>
        </w:rPr>
        <w:t xml:space="preserve"> </w:t>
      </w:r>
      <w:r w:rsidRPr="00B050F4">
        <w:rPr>
          <w:rFonts w:ascii="Poppins" w:eastAsia="Times New Roman" w:hAnsi="Poppins" w:cs="Poppins"/>
        </w:rPr>
        <w:t>dodatnia</w:t>
      </w:r>
      <w:r w:rsidR="004616F8" w:rsidRPr="00B050F4">
        <w:rPr>
          <w:rFonts w:ascii="Poppins" w:eastAsia="Times New Roman" w:hAnsi="Poppins" w:cs="Poppins"/>
        </w:rPr>
        <w:t xml:space="preserve"> zmiana </w:t>
      </w:r>
      <w:r w:rsidR="00EF5C9E" w:rsidRPr="00B050F4">
        <w:rPr>
          <w:rFonts w:ascii="Poppins" w:eastAsia="Times New Roman" w:hAnsi="Poppins" w:cs="Poppins"/>
        </w:rPr>
        <w:t xml:space="preserve">w relacji miesiąc do miesiąca stała </w:t>
      </w:r>
      <w:r w:rsidR="004616F8" w:rsidRPr="00B050F4">
        <w:rPr>
          <w:rFonts w:ascii="Poppins" w:eastAsia="Times New Roman" w:hAnsi="Poppins" w:cs="Poppins"/>
        </w:rPr>
        <w:t xml:space="preserve">się udziałem </w:t>
      </w:r>
      <w:r w:rsidRPr="00B050F4">
        <w:rPr>
          <w:rFonts w:ascii="Poppins" w:eastAsia="Times New Roman" w:hAnsi="Poppins" w:cs="Poppins"/>
        </w:rPr>
        <w:t>wszystkich trzech</w:t>
      </w:r>
      <w:r w:rsidR="00AF591C" w:rsidRPr="00B050F4">
        <w:rPr>
          <w:rFonts w:ascii="Poppins" w:eastAsia="Times New Roman" w:hAnsi="Poppins" w:cs="Poppins"/>
        </w:rPr>
        <w:t xml:space="preserve"> </w:t>
      </w:r>
      <w:r w:rsidR="00AF29C6" w:rsidRPr="00B050F4">
        <w:rPr>
          <w:rFonts w:ascii="Poppins" w:eastAsia="Times New Roman" w:hAnsi="Poppins" w:cs="Poppins"/>
        </w:rPr>
        <w:t>kategori</w:t>
      </w:r>
      <w:r w:rsidR="00AF591C" w:rsidRPr="00B050F4">
        <w:rPr>
          <w:rFonts w:ascii="Poppins" w:eastAsia="Times New Roman" w:hAnsi="Poppins" w:cs="Poppins"/>
        </w:rPr>
        <w:t>i</w:t>
      </w:r>
      <w:r w:rsidR="00AF29C6" w:rsidRPr="00B050F4">
        <w:rPr>
          <w:rFonts w:ascii="Poppins" w:eastAsia="Times New Roman" w:hAnsi="Poppins" w:cs="Poppins"/>
        </w:rPr>
        <w:t xml:space="preserve"> </w:t>
      </w:r>
      <w:r w:rsidR="00B050F4">
        <w:rPr>
          <w:rFonts w:ascii="Poppins" w:eastAsia="Times New Roman" w:hAnsi="Poppins" w:cs="Poppins"/>
        </w:rPr>
        <w:t>GUS-</w:t>
      </w:r>
      <w:r w:rsidR="00AF29C6" w:rsidRPr="00B050F4">
        <w:rPr>
          <w:rFonts w:ascii="Poppins" w:eastAsia="Times New Roman" w:hAnsi="Poppins" w:cs="Poppins"/>
        </w:rPr>
        <w:t>owskich danych budownictwa mieszkaniowego</w:t>
      </w:r>
      <w:r w:rsidRPr="00B050F4">
        <w:rPr>
          <w:rFonts w:ascii="Poppins" w:eastAsia="Times New Roman" w:hAnsi="Poppins" w:cs="Poppins"/>
        </w:rPr>
        <w:t xml:space="preserve">, </w:t>
      </w:r>
      <w:r w:rsidR="00EF5C9E" w:rsidRPr="00B050F4">
        <w:rPr>
          <w:rFonts w:ascii="Poppins" w:eastAsia="Times New Roman" w:hAnsi="Poppins" w:cs="Poppins"/>
        </w:rPr>
        <w:t>jednak spektakularny charakter wzrostu zanotowały jedynie mieszkania, których budowę rozpoczęto</w:t>
      </w:r>
      <w:r w:rsidR="000A5AA7" w:rsidRPr="00B050F4">
        <w:rPr>
          <w:rFonts w:ascii="Poppins" w:eastAsia="Times New Roman" w:hAnsi="Poppins" w:cs="Poppins"/>
        </w:rPr>
        <w:t xml:space="preserve">, </w:t>
      </w:r>
      <w:r w:rsidRPr="00B050F4">
        <w:rPr>
          <w:rFonts w:ascii="Poppins" w:eastAsia="Times New Roman" w:hAnsi="Poppins" w:cs="Poppins"/>
        </w:rPr>
        <w:t>na co decydujący wpływ m</w:t>
      </w:r>
      <w:r w:rsidR="00B050F4">
        <w:rPr>
          <w:rFonts w:ascii="Poppins" w:eastAsia="Times New Roman" w:hAnsi="Poppins" w:cs="Poppins"/>
        </w:rPr>
        <w:t>i</w:t>
      </w:r>
      <w:r w:rsidRPr="00B050F4">
        <w:rPr>
          <w:rFonts w:ascii="Poppins" w:eastAsia="Times New Roman" w:hAnsi="Poppins" w:cs="Poppins"/>
        </w:rPr>
        <w:t xml:space="preserve">ały </w:t>
      </w:r>
      <w:r w:rsidR="000A5AA7" w:rsidRPr="00B050F4">
        <w:rPr>
          <w:rFonts w:ascii="Poppins" w:eastAsia="Times New Roman" w:hAnsi="Poppins" w:cs="Poppins"/>
        </w:rPr>
        <w:t>nowe budowy deweloperskie. Te ostatnie</w:t>
      </w:r>
      <w:r w:rsidRPr="00B050F4">
        <w:rPr>
          <w:rFonts w:ascii="Poppins" w:eastAsia="Times New Roman" w:hAnsi="Poppins" w:cs="Poppins"/>
        </w:rPr>
        <w:t xml:space="preserve"> </w:t>
      </w:r>
      <w:r w:rsidR="000A5AA7" w:rsidRPr="00B050F4">
        <w:rPr>
          <w:rFonts w:ascii="Poppins" w:eastAsia="Times New Roman" w:hAnsi="Poppins" w:cs="Poppins"/>
        </w:rPr>
        <w:t>w</w:t>
      </w:r>
      <w:r w:rsidRPr="00B050F4">
        <w:rPr>
          <w:rFonts w:ascii="Poppins" w:eastAsia="Times New Roman" w:hAnsi="Poppins" w:cs="Poppins"/>
        </w:rPr>
        <w:t>ciąż</w:t>
      </w:r>
      <w:r w:rsidR="00D74F92" w:rsidRPr="00B050F4">
        <w:rPr>
          <w:rFonts w:ascii="Poppins" w:eastAsia="Times New Roman" w:hAnsi="Poppins" w:cs="Poppins"/>
        </w:rPr>
        <w:t xml:space="preserve"> </w:t>
      </w:r>
      <w:r w:rsidR="000A5AA7" w:rsidRPr="00B050F4">
        <w:rPr>
          <w:rFonts w:ascii="Poppins" w:eastAsia="Times New Roman" w:hAnsi="Poppins" w:cs="Poppins"/>
        </w:rPr>
        <w:t xml:space="preserve">są </w:t>
      </w:r>
      <w:r w:rsidRPr="00B050F4">
        <w:rPr>
          <w:rFonts w:ascii="Poppins" w:eastAsia="Times New Roman" w:hAnsi="Poppins" w:cs="Poppins"/>
        </w:rPr>
        <w:t>najważniejsze z punktu widzenia perspektyw rozwoju koniunktury inwestycyjnej mieszkaniówki</w:t>
      </w:r>
      <w:r w:rsidR="000A5AA7" w:rsidRPr="00B050F4">
        <w:rPr>
          <w:rFonts w:ascii="Poppins" w:eastAsia="Times New Roman" w:hAnsi="Poppins" w:cs="Poppins"/>
        </w:rPr>
        <w:t>.</w:t>
      </w:r>
      <w:r w:rsidRPr="00B050F4">
        <w:rPr>
          <w:rFonts w:ascii="Poppins" w:eastAsia="Times New Roman" w:hAnsi="Poppins" w:cs="Poppins"/>
        </w:rPr>
        <w:t xml:space="preserve"> </w:t>
      </w:r>
      <w:r w:rsidR="000A5AA7" w:rsidRPr="00B050F4">
        <w:rPr>
          <w:rFonts w:ascii="Poppins" w:eastAsia="Times New Roman" w:hAnsi="Poppins" w:cs="Poppins"/>
        </w:rPr>
        <w:t>Po półrocznej korekcie w październiku</w:t>
      </w:r>
      <w:r w:rsidRPr="00B050F4">
        <w:rPr>
          <w:rFonts w:ascii="Poppins" w:eastAsia="Times New Roman" w:hAnsi="Poppins" w:cs="Poppins"/>
        </w:rPr>
        <w:t xml:space="preserve"> </w:t>
      </w:r>
      <w:r w:rsidR="000A5AA7" w:rsidRPr="00B050F4">
        <w:rPr>
          <w:rFonts w:ascii="Poppins" w:eastAsia="Times New Roman" w:hAnsi="Poppins" w:cs="Poppins"/>
        </w:rPr>
        <w:t xml:space="preserve">dane te </w:t>
      </w:r>
      <w:r w:rsidRPr="00B050F4">
        <w:rPr>
          <w:rFonts w:ascii="Poppins" w:eastAsia="Times New Roman" w:hAnsi="Poppins" w:cs="Poppins"/>
        </w:rPr>
        <w:t>odbiły w sposób istotny statystycznie.</w:t>
      </w:r>
      <w:r w:rsidR="00AF591C" w:rsidRPr="00B050F4">
        <w:rPr>
          <w:rFonts w:ascii="Poppins" w:eastAsia="Times New Roman" w:hAnsi="Poppins" w:cs="Poppins"/>
        </w:rPr>
        <w:t xml:space="preserve"> </w:t>
      </w:r>
    </w:p>
    <w:p w14:paraId="11F90D69" w14:textId="5075BC95" w:rsidR="00AB53BD" w:rsidRPr="00B050F4" w:rsidRDefault="00FF3AAC" w:rsidP="005710D7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lang w:eastAsia="pl-PL"/>
        </w:rPr>
      </w:pPr>
      <w:r w:rsidRPr="00B050F4">
        <w:rPr>
          <w:rFonts w:ascii="Poppins" w:eastAsia="Times New Roman" w:hAnsi="Poppins" w:cs="Poppins"/>
          <w:lang w:eastAsia="pl-PL"/>
        </w:rPr>
        <w:t xml:space="preserve">W sumie w </w:t>
      </w:r>
      <w:r w:rsidR="00D74F92" w:rsidRPr="00B050F4">
        <w:rPr>
          <w:rFonts w:ascii="Poppins" w:eastAsia="Times New Roman" w:hAnsi="Poppins" w:cs="Poppins"/>
          <w:lang w:eastAsia="pl-PL"/>
        </w:rPr>
        <w:t>minionym miesiącu</w:t>
      </w:r>
      <w:r w:rsidR="00615AFA" w:rsidRPr="00B050F4">
        <w:rPr>
          <w:rFonts w:ascii="Poppins" w:eastAsia="Times New Roman" w:hAnsi="Poppins" w:cs="Poppins"/>
          <w:lang w:eastAsia="pl-PL"/>
        </w:rPr>
        <w:t xml:space="preserve"> w ramach wszystkich kategorii inwestycyjnych</w:t>
      </w:r>
      <w:r w:rsidR="00B01458" w:rsidRPr="00B050F4">
        <w:rPr>
          <w:rFonts w:ascii="Poppins" w:eastAsia="Times New Roman" w:hAnsi="Poppins" w:cs="Poppins"/>
          <w:lang w:eastAsia="pl-PL"/>
        </w:rPr>
        <w:t xml:space="preserve"> ruszyła budowa</w:t>
      </w:r>
      <w:r w:rsidR="000A5AA7" w:rsidRPr="00B050F4">
        <w:rPr>
          <w:rFonts w:ascii="Poppins" w:eastAsia="Times New Roman" w:hAnsi="Poppins" w:cs="Poppins"/>
          <w:lang w:eastAsia="pl-PL"/>
        </w:rPr>
        <w:t xml:space="preserve"> z górą </w:t>
      </w:r>
      <w:r w:rsidR="00893252" w:rsidRPr="00B050F4">
        <w:rPr>
          <w:rFonts w:ascii="Poppins" w:eastAsia="Times New Roman" w:hAnsi="Poppins" w:cs="Poppins"/>
          <w:lang w:eastAsia="pl-PL"/>
        </w:rPr>
        <w:t>2</w:t>
      </w:r>
      <w:r w:rsidR="000A5AA7" w:rsidRPr="00B050F4">
        <w:rPr>
          <w:rFonts w:ascii="Poppins" w:eastAsia="Times New Roman" w:hAnsi="Poppins" w:cs="Poppins"/>
          <w:lang w:eastAsia="pl-PL"/>
        </w:rPr>
        <w:t>3</w:t>
      </w:r>
      <w:r w:rsidR="00B01458" w:rsidRPr="00B050F4">
        <w:rPr>
          <w:rFonts w:ascii="Poppins" w:eastAsia="Times New Roman" w:hAnsi="Poppins" w:cs="Poppins"/>
          <w:lang w:eastAsia="pl-PL"/>
        </w:rPr>
        <w:t xml:space="preserve"> tys. mieszkań i domów, </w:t>
      </w:r>
      <w:r w:rsidR="005A47F4" w:rsidRPr="00B050F4">
        <w:rPr>
          <w:rFonts w:ascii="Poppins" w:eastAsia="Times New Roman" w:hAnsi="Poppins" w:cs="Poppins"/>
          <w:lang w:eastAsia="pl-PL"/>
        </w:rPr>
        <w:t xml:space="preserve">co oznacza </w:t>
      </w:r>
      <w:r w:rsidR="00AB53BD" w:rsidRPr="00B050F4">
        <w:rPr>
          <w:rFonts w:ascii="Poppins" w:eastAsia="Times New Roman" w:hAnsi="Poppins" w:cs="Poppins"/>
          <w:lang w:eastAsia="pl-PL"/>
        </w:rPr>
        <w:t xml:space="preserve">wzrost </w:t>
      </w:r>
      <w:r w:rsidR="005A47F4" w:rsidRPr="00B050F4">
        <w:rPr>
          <w:rFonts w:ascii="Poppins" w:eastAsia="Times New Roman" w:hAnsi="Poppins" w:cs="Poppins"/>
          <w:lang w:eastAsia="pl-PL"/>
        </w:rPr>
        <w:t xml:space="preserve">w relacji rdr </w:t>
      </w:r>
      <w:r w:rsidR="000A5AA7" w:rsidRPr="00B050F4">
        <w:rPr>
          <w:rFonts w:ascii="Poppins" w:eastAsia="Times New Roman" w:hAnsi="Poppins" w:cs="Poppins"/>
          <w:lang w:eastAsia="pl-PL"/>
        </w:rPr>
        <w:t>o ponad 18</w:t>
      </w:r>
      <w:r w:rsidR="00893252" w:rsidRPr="00B050F4">
        <w:rPr>
          <w:rFonts w:ascii="Poppins" w:eastAsia="Times New Roman" w:hAnsi="Poppins" w:cs="Poppins"/>
          <w:lang w:eastAsia="pl-PL"/>
        </w:rPr>
        <w:t xml:space="preserve"> proc.</w:t>
      </w:r>
      <w:r w:rsidR="000A5AA7" w:rsidRPr="00B050F4">
        <w:rPr>
          <w:rFonts w:ascii="Poppins" w:eastAsia="Times New Roman" w:hAnsi="Poppins" w:cs="Poppins"/>
          <w:lang w:eastAsia="pl-PL"/>
        </w:rPr>
        <w:t xml:space="preserve"> </w:t>
      </w:r>
      <w:r w:rsidR="00615AFA" w:rsidRPr="00B050F4">
        <w:rPr>
          <w:rFonts w:ascii="Poppins" w:eastAsia="Times New Roman" w:hAnsi="Poppins" w:cs="Poppins"/>
          <w:lang w:eastAsia="pl-PL"/>
        </w:rPr>
        <w:t xml:space="preserve">oraz </w:t>
      </w:r>
      <w:r w:rsidR="0007116C" w:rsidRPr="00B050F4">
        <w:rPr>
          <w:rFonts w:ascii="Poppins" w:eastAsia="Times New Roman" w:hAnsi="Poppins" w:cs="Poppins"/>
          <w:lang w:eastAsia="pl-PL"/>
        </w:rPr>
        <w:t xml:space="preserve">ponad </w:t>
      </w:r>
      <w:r w:rsidR="00E57B40" w:rsidRPr="00B050F4">
        <w:rPr>
          <w:rFonts w:ascii="Poppins" w:eastAsia="Times New Roman" w:hAnsi="Poppins" w:cs="Poppins"/>
          <w:lang w:eastAsia="pl-PL"/>
        </w:rPr>
        <w:t>21</w:t>
      </w:r>
      <w:r w:rsidR="00AB53BD" w:rsidRPr="00B050F4">
        <w:rPr>
          <w:rFonts w:ascii="Poppins" w:eastAsia="Times New Roman" w:hAnsi="Poppins" w:cs="Poppins"/>
          <w:lang w:eastAsia="pl-PL"/>
        </w:rPr>
        <w:t xml:space="preserve"> proc. w </w:t>
      </w:r>
      <w:r w:rsidR="001741B5" w:rsidRPr="00B050F4">
        <w:rPr>
          <w:rFonts w:ascii="Poppins" w:eastAsia="Times New Roman" w:hAnsi="Poppins" w:cs="Poppins"/>
          <w:lang w:eastAsia="pl-PL"/>
        </w:rPr>
        <w:t>stosunku</w:t>
      </w:r>
      <w:r w:rsidR="00AB53BD" w:rsidRPr="00B050F4">
        <w:rPr>
          <w:rFonts w:ascii="Poppins" w:eastAsia="Times New Roman" w:hAnsi="Poppins" w:cs="Poppins"/>
          <w:lang w:eastAsia="pl-PL"/>
        </w:rPr>
        <w:t xml:space="preserve"> do poprzedniego miesiąca. </w:t>
      </w:r>
      <w:r w:rsidR="0033721C" w:rsidRPr="00B050F4">
        <w:rPr>
          <w:rFonts w:ascii="Poppins" w:eastAsia="Times New Roman" w:hAnsi="Poppins" w:cs="Poppins"/>
          <w:lang w:eastAsia="pl-PL"/>
        </w:rPr>
        <w:t xml:space="preserve">W sumie </w:t>
      </w:r>
      <w:r w:rsidR="00615AFA" w:rsidRPr="00B050F4">
        <w:rPr>
          <w:rFonts w:ascii="Poppins" w:eastAsia="Times New Roman" w:hAnsi="Poppins" w:cs="Poppins"/>
          <w:lang w:eastAsia="pl-PL"/>
        </w:rPr>
        <w:t xml:space="preserve">w </w:t>
      </w:r>
      <w:r w:rsidR="00893252" w:rsidRPr="00B050F4">
        <w:rPr>
          <w:rFonts w:ascii="Poppins" w:eastAsia="Times New Roman" w:hAnsi="Poppins" w:cs="Poppins"/>
          <w:lang w:eastAsia="pl-PL"/>
        </w:rPr>
        <w:t>dziesięciu miesiącach</w:t>
      </w:r>
      <w:r w:rsidR="00615AFA" w:rsidRPr="00B050F4">
        <w:rPr>
          <w:rFonts w:ascii="Poppins" w:eastAsia="Times New Roman" w:hAnsi="Poppins" w:cs="Poppins"/>
          <w:lang w:eastAsia="pl-PL"/>
        </w:rPr>
        <w:t xml:space="preserve"> bieżącego</w:t>
      </w:r>
      <w:r w:rsidR="0033721C" w:rsidRPr="00B050F4">
        <w:rPr>
          <w:rFonts w:ascii="Poppins" w:eastAsia="Times New Roman" w:hAnsi="Poppins" w:cs="Poppins"/>
          <w:lang w:eastAsia="pl-PL"/>
        </w:rPr>
        <w:t xml:space="preserve"> roku rozpoczęto </w:t>
      </w:r>
      <w:r w:rsidR="00AB53BD" w:rsidRPr="00B050F4">
        <w:rPr>
          <w:rFonts w:ascii="Poppins" w:eastAsia="Times New Roman" w:hAnsi="Poppins" w:cs="Poppins"/>
          <w:lang w:eastAsia="pl-PL"/>
        </w:rPr>
        <w:t xml:space="preserve">budowę </w:t>
      </w:r>
      <w:r w:rsidR="001741B5" w:rsidRPr="00B050F4">
        <w:rPr>
          <w:rFonts w:ascii="Poppins" w:eastAsia="Times New Roman" w:hAnsi="Poppins" w:cs="Poppins"/>
          <w:lang w:eastAsia="pl-PL"/>
        </w:rPr>
        <w:t xml:space="preserve">prawie </w:t>
      </w:r>
      <w:r w:rsidR="00E57B40" w:rsidRPr="00B050F4">
        <w:rPr>
          <w:rFonts w:ascii="Poppins" w:eastAsia="Times New Roman" w:hAnsi="Poppins" w:cs="Poppins"/>
          <w:lang w:eastAsia="pl-PL"/>
        </w:rPr>
        <w:t>205</w:t>
      </w:r>
      <w:r w:rsidR="0033721C" w:rsidRPr="00B050F4">
        <w:rPr>
          <w:rFonts w:ascii="Poppins" w:eastAsia="Times New Roman" w:hAnsi="Poppins" w:cs="Poppins"/>
          <w:lang w:eastAsia="pl-PL"/>
        </w:rPr>
        <w:t xml:space="preserve"> tys. lokali, co </w:t>
      </w:r>
      <w:r w:rsidR="00AB53BD" w:rsidRPr="00B050F4">
        <w:rPr>
          <w:rFonts w:ascii="Poppins" w:eastAsia="Times New Roman" w:hAnsi="Poppins" w:cs="Poppins"/>
          <w:lang w:eastAsia="pl-PL"/>
        </w:rPr>
        <w:t xml:space="preserve">oznacza </w:t>
      </w:r>
      <w:r w:rsidR="0033721C" w:rsidRPr="00B050F4">
        <w:rPr>
          <w:rFonts w:ascii="Poppins" w:eastAsia="Times New Roman" w:hAnsi="Poppins" w:cs="Poppins"/>
          <w:lang w:eastAsia="pl-PL"/>
        </w:rPr>
        <w:t xml:space="preserve">wynik </w:t>
      </w:r>
      <w:r w:rsidR="00E57B40" w:rsidRPr="00B050F4">
        <w:rPr>
          <w:rFonts w:ascii="Poppins" w:eastAsia="Times New Roman" w:hAnsi="Poppins" w:cs="Poppins"/>
          <w:lang w:eastAsia="pl-PL"/>
        </w:rPr>
        <w:t>lepszy</w:t>
      </w:r>
      <w:r w:rsidR="0033721C" w:rsidRPr="00B050F4">
        <w:rPr>
          <w:rFonts w:ascii="Poppins" w:eastAsia="Times New Roman" w:hAnsi="Poppins" w:cs="Poppins"/>
          <w:lang w:eastAsia="pl-PL"/>
        </w:rPr>
        <w:t xml:space="preserve"> od uzyskanego w analogicznym okresie ub. roku</w:t>
      </w:r>
      <w:r w:rsidR="00615AFA" w:rsidRPr="00B050F4">
        <w:rPr>
          <w:rFonts w:ascii="Poppins" w:eastAsia="Times New Roman" w:hAnsi="Poppins" w:cs="Poppins"/>
          <w:lang w:eastAsia="pl-PL"/>
        </w:rPr>
        <w:t xml:space="preserve"> o </w:t>
      </w:r>
      <w:r w:rsidR="00E57B40" w:rsidRPr="00B050F4">
        <w:rPr>
          <w:rFonts w:ascii="Poppins" w:eastAsia="Times New Roman" w:hAnsi="Poppins" w:cs="Poppins"/>
          <w:lang w:eastAsia="pl-PL"/>
        </w:rPr>
        <w:t>29</w:t>
      </w:r>
      <w:r w:rsidR="00615AFA" w:rsidRPr="00B050F4">
        <w:rPr>
          <w:rFonts w:ascii="Poppins" w:eastAsia="Times New Roman" w:hAnsi="Poppins" w:cs="Poppins"/>
          <w:lang w:eastAsia="pl-PL"/>
        </w:rPr>
        <w:t xml:space="preserve"> proc.</w:t>
      </w:r>
    </w:p>
    <w:p w14:paraId="10C11B4E" w14:textId="156CCAFD" w:rsidR="00357C92" w:rsidRPr="00B050F4" w:rsidRDefault="001741B5" w:rsidP="00B050F4">
      <w:pPr>
        <w:spacing w:before="120" w:after="120" w:line="240" w:lineRule="auto"/>
        <w:rPr>
          <w:rFonts w:ascii="Poppins" w:hAnsi="Poppins" w:cs="Poppins"/>
          <w:color w:val="222222"/>
          <w:sz w:val="24"/>
          <w:szCs w:val="24"/>
          <w:shd w:val="clear" w:color="auto" w:fill="FFFFFF"/>
        </w:rPr>
      </w:pPr>
      <w:r w:rsidRPr="00B050F4">
        <w:rPr>
          <w:rFonts w:ascii="Poppins" w:eastAsia="Times New Roman" w:hAnsi="Poppins" w:cs="Poppins"/>
          <w:lang w:eastAsia="pl-PL"/>
        </w:rPr>
        <w:t>Tymczasem</w:t>
      </w:r>
      <w:r w:rsidR="00615AFA" w:rsidRPr="00B050F4">
        <w:rPr>
          <w:rFonts w:ascii="Poppins" w:eastAsia="Times New Roman" w:hAnsi="Poppins" w:cs="Poppins"/>
          <w:lang w:eastAsia="pl-PL"/>
        </w:rPr>
        <w:t xml:space="preserve"> sami deweloperzy </w:t>
      </w:r>
      <w:r w:rsidR="00B43F54" w:rsidRPr="00B050F4">
        <w:rPr>
          <w:rFonts w:ascii="Poppins" w:eastAsia="Times New Roman" w:hAnsi="Poppins" w:cs="Poppins"/>
          <w:lang w:eastAsia="pl-PL"/>
        </w:rPr>
        <w:t xml:space="preserve">od początku roku </w:t>
      </w:r>
      <w:r w:rsidRPr="00B050F4">
        <w:rPr>
          <w:rFonts w:ascii="Poppins" w:eastAsia="Times New Roman" w:hAnsi="Poppins" w:cs="Poppins"/>
          <w:lang w:eastAsia="pl-PL"/>
        </w:rPr>
        <w:t xml:space="preserve">uruchomili bez mała </w:t>
      </w:r>
      <w:r w:rsidR="00E57B40" w:rsidRPr="00B050F4">
        <w:rPr>
          <w:rFonts w:ascii="Poppins" w:eastAsia="Times New Roman" w:hAnsi="Poppins" w:cs="Poppins"/>
          <w:lang w:eastAsia="pl-PL"/>
        </w:rPr>
        <w:t>133</w:t>
      </w:r>
      <w:r w:rsidRPr="00B050F4">
        <w:rPr>
          <w:rFonts w:ascii="Poppins" w:eastAsia="Times New Roman" w:hAnsi="Poppins" w:cs="Poppins"/>
          <w:lang w:eastAsia="pl-PL"/>
        </w:rPr>
        <w:t xml:space="preserve"> tys.</w:t>
      </w:r>
      <w:r w:rsidR="00B43F54" w:rsidRPr="00B050F4">
        <w:rPr>
          <w:rFonts w:ascii="Poppins" w:eastAsia="Times New Roman" w:hAnsi="Poppins" w:cs="Poppins"/>
          <w:lang w:eastAsia="pl-PL"/>
        </w:rPr>
        <w:t xml:space="preserve"> nowych budów, co oznacza </w:t>
      </w:r>
      <w:r w:rsidR="00E57B40" w:rsidRPr="00B050F4">
        <w:rPr>
          <w:rFonts w:ascii="Poppins" w:eastAsia="Times New Roman" w:hAnsi="Poppins" w:cs="Poppins"/>
          <w:lang w:eastAsia="pl-PL"/>
        </w:rPr>
        <w:t>imponujący 44</w:t>
      </w:r>
      <w:r w:rsidRPr="00B050F4">
        <w:rPr>
          <w:rFonts w:ascii="Poppins" w:eastAsia="Times New Roman" w:hAnsi="Poppins" w:cs="Poppins"/>
          <w:lang w:eastAsia="pl-PL"/>
        </w:rPr>
        <w:t>-proce</w:t>
      </w:r>
      <w:r w:rsidR="00387A8C">
        <w:rPr>
          <w:rFonts w:ascii="Poppins" w:eastAsia="Times New Roman" w:hAnsi="Poppins" w:cs="Poppins"/>
          <w:lang w:eastAsia="pl-PL"/>
        </w:rPr>
        <w:t>n</w:t>
      </w:r>
      <w:r w:rsidRPr="00B050F4">
        <w:rPr>
          <w:rFonts w:ascii="Poppins" w:eastAsia="Times New Roman" w:hAnsi="Poppins" w:cs="Poppins"/>
          <w:lang w:eastAsia="pl-PL"/>
        </w:rPr>
        <w:t>towy</w:t>
      </w:r>
      <w:r w:rsidR="00B43F54" w:rsidRPr="00B050F4">
        <w:rPr>
          <w:rFonts w:ascii="Poppins" w:eastAsia="Times New Roman" w:hAnsi="Poppins" w:cs="Poppins"/>
          <w:lang w:eastAsia="pl-PL"/>
        </w:rPr>
        <w:t xml:space="preserve"> </w:t>
      </w:r>
      <w:r w:rsidR="00E57B40" w:rsidRPr="00B050F4">
        <w:rPr>
          <w:rFonts w:ascii="Poppins" w:eastAsia="Times New Roman" w:hAnsi="Poppins" w:cs="Poppins"/>
          <w:lang w:eastAsia="pl-PL"/>
        </w:rPr>
        <w:t xml:space="preserve">progres </w:t>
      </w:r>
      <w:r w:rsidR="00B43F54" w:rsidRPr="00B050F4">
        <w:rPr>
          <w:rFonts w:ascii="Poppins" w:eastAsia="Times New Roman" w:hAnsi="Poppins" w:cs="Poppins"/>
          <w:lang w:eastAsia="pl-PL"/>
        </w:rPr>
        <w:t xml:space="preserve">w relacji rok do roku. </w:t>
      </w:r>
      <w:r w:rsidRPr="00B050F4">
        <w:rPr>
          <w:rFonts w:ascii="Poppins" w:eastAsia="Times New Roman" w:hAnsi="Poppins" w:cs="Poppins"/>
          <w:lang w:eastAsia="pl-PL"/>
        </w:rPr>
        <w:t>Z kolei</w:t>
      </w:r>
      <w:r w:rsidR="00B43F54" w:rsidRPr="00B050F4">
        <w:rPr>
          <w:rFonts w:ascii="Poppins" w:eastAsia="Times New Roman" w:hAnsi="Poppins" w:cs="Poppins"/>
          <w:lang w:eastAsia="pl-PL"/>
        </w:rPr>
        <w:t xml:space="preserve"> w samym </w:t>
      </w:r>
      <w:r w:rsidRPr="00B050F4">
        <w:rPr>
          <w:rFonts w:ascii="Poppins" w:eastAsia="Times New Roman" w:hAnsi="Poppins" w:cs="Poppins"/>
          <w:lang w:eastAsia="pl-PL"/>
        </w:rPr>
        <w:t>październiku ruszyły budowy</w:t>
      </w:r>
      <w:r w:rsidR="00B43F54" w:rsidRPr="00B050F4">
        <w:rPr>
          <w:rFonts w:ascii="Poppins" w:eastAsia="Times New Roman" w:hAnsi="Poppins" w:cs="Poppins"/>
          <w:lang w:eastAsia="pl-PL"/>
        </w:rPr>
        <w:t xml:space="preserve"> </w:t>
      </w:r>
      <w:r w:rsidR="00E57B40" w:rsidRPr="00B050F4">
        <w:rPr>
          <w:rFonts w:ascii="Poppins" w:eastAsia="Times New Roman" w:hAnsi="Poppins" w:cs="Poppins"/>
          <w:lang w:eastAsia="pl-PL"/>
        </w:rPr>
        <w:t>16</w:t>
      </w:r>
      <w:r w:rsidR="00B43F54" w:rsidRPr="00B050F4">
        <w:rPr>
          <w:rFonts w:ascii="Poppins" w:eastAsia="Times New Roman" w:hAnsi="Poppins" w:cs="Poppins"/>
          <w:lang w:eastAsia="pl-PL"/>
        </w:rPr>
        <w:t xml:space="preserve"> tys.</w:t>
      </w:r>
      <w:r w:rsidR="00E57B40" w:rsidRPr="00B050F4">
        <w:rPr>
          <w:rFonts w:ascii="Poppins" w:eastAsia="Times New Roman" w:hAnsi="Poppins" w:cs="Poppins"/>
          <w:lang w:eastAsia="pl-PL"/>
        </w:rPr>
        <w:t xml:space="preserve"> lokali na sprzedaż lub wynajem, </w:t>
      </w:r>
      <w:r w:rsidRPr="00B050F4">
        <w:rPr>
          <w:rFonts w:ascii="Poppins" w:eastAsia="Times New Roman" w:hAnsi="Poppins" w:cs="Poppins"/>
          <w:lang w:eastAsia="pl-PL"/>
        </w:rPr>
        <w:t xml:space="preserve">czyli </w:t>
      </w:r>
      <w:r w:rsidR="00E57B40" w:rsidRPr="00B050F4">
        <w:rPr>
          <w:rFonts w:ascii="Poppins" w:eastAsia="Times New Roman" w:hAnsi="Poppins" w:cs="Poppins"/>
          <w:lang w:eastAsia="pl-PL"/>
        </w:rPr>
        <w:t>więcej o blisko 30 proc. rok do roku i 35 proc</w:t>
      </w:r>
      <w:r w:rsidRPr="00B050F4">
        <w:rPr>
          <w:rFonts w:ascii="Poppins" w:eastAsia="Times New Roman" w:hAnsi="Poppins" w:cs="Poppins"/>
          <w:lang w:eastAsia="pl-PL"/>
        </w:rPr>
        <w:t>.</w:t>
      </w:r>
      <w:r w:rsidR="00E57B40" w:rsidRPr="00B050F4">
        <w:rPr>
          <w:rFonts w:ascii="Poppins" w:eastAsia="Times New Roman" w:hAnsi="Poppins" w:cs="Poppins"/>
          <w:lang w:eastAsia="pl-PL"/>
        </w:rPr>
        <w:t xml:space="preserve"> miesiąc do miesiąca.</w:t>
      </w:r>
      <w:r w:rsidRPr="00B050F4">
        <w:rPr>
          <w:rFonts w:ascii="Poppins" w:eastAsia="Times New Roman" w:hAnsi="Poppins" w:cs="Poppins"/>
          <w:lang w:eastAsia="pl-PL"/>
        </w:rPr>
        <w:t xml:space="preserve"> </w:t>
      </w:r>
    </w:p>
    <w:p w14:paraId="6F52A6B7" w14:textId="77777777" w:rsidR="00357C92" w:rsidRPr="00B050F4" w:rsidRDefault="00357C92" w:rsidP="00F800E5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lang w:eastAsia="pl-PL"/>
        </w:rPr>
      </w:pPr>
    </w:p>
    <w:p w14:paraId="2A59E91B" w14:textId="01D6CA0B" w:rsidR="00357C92" w:rsidRPr="00B050F4" w:rsidRDefault="00B050F4" w:rsidP="009E6716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lang w:eastAsia="pl-PL"/>
        </w:rPr>
      </w:pPr>
      <w:r>
        <w:rPr>
          <w:rFonts w:ascii="Poppins" w:hAnsi="Poppins" w:cs="Poppins"/>
          <w:noProof/>
        </w:rPr>
        <w:lastRenderedPageBreak/>
        <w:drawing>
          <wp:inline distT="0" distB="0" distL="0" distR="0" wp14:anchorId="02A05388" wp14:editId="2811B481">
            <wp:extent cx="6637020" cy="3749040"/>
            <wp:effectExtent l="0" t="0" r="0" b="3810"/>
            <wp:docPr id="11920418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1D18B" w14:textId="77777777" w:rsidR="00E57B40" w:rsidRPr="00B050F4" w:rsidRDefault="00E57B40" w:rsidP="009E6716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lang w:eastAsia="pl-PL"/>
        </w:rPr>
      </w:pPr>
    </w:p>
    <w:p w14:paraId="3A08A393" w14:textId="6F7FBCB4" w:rsidR="00D90C77" w:rsidRPr="00B050F4" w:rsidRDefault="00CC4CD9" w:rsidP="009E6716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lang w:eastAsia="pl-PL"/>
        </w:rPr>
      </w:pPr>
      <w:r>
        <w:rPr>
          <w:rFonts w:ascii="Poppins" w:eastAsia="Times New Roman" w:hAnsi="Poppins" w:cs="Poppins"/>
          <w:lang w:eastAsia="pl-PL"/>
        </w:rPr>
        <w:t xml:space="preserve">Jak wskazują eksperci portalu </w:t>
      </w:r>
      <w:hyperlink r:id="rId8" w:history="1">
        <w:r w:rsidRPr="00910BCB">
          <w:rPr>
            <w:rStyle w:val="Hipercze"/>
            <w:rFonts w:ascii="Poppins" w:eastAsia="Times New Roman" w:hAnsi="Poppins" w:cs="Poppins"/>
            <w:lang w:eastAsia="pl-PL"/>
          </w:rPr>
          <w:t>RynekPierwotny.pl</w:t>
        </w:r>
      </w:hyperlink>
      <w:r>
        <w:rPr>
          <w:rFonts w:ascii="Poppins" w:eastAsia="Times New Roman" w:hAnsi="Poppins" w:cs="Poppins"/>
          <w:lang w:eastAsia="pl-PL"/>
        </w:rPr>
        <w:t xml:space="preserve"> w</w:t>
      </w:r>
      <w:r w:rsidR="00357C92" w:rsidRPr="00B050F4">
        <w:rPr>
          <w:rFonts w:ascii="Poppins" w:eastAsia="Times New Roman" w:hAnsi="Poppins" w:cs="Poppins"/>
          <w:lang w:eastAsia="pl-PL"/>
        </w:rPr>
        <w:t xml:space="preserve"> dalszym ciągu w danych GUS widać</w:t>
      </w:r>
      <w:r w:rsidR="00F800E5" w:rsidRPr="00B050F4">
        <w:rPr>
          <w:rFonts w:ascii="Poppins" w:eastAsia="Times New Roman" w:hAnsi="Poppins" w:cs="Poppins"/>
          <w:bCs/>
        </w:rPr>
        <w:t xml:space="preserve"> </w:t>
      </w:r>
      <w:r w:rsidR="00357C92" w:rsidRPr="00B050F4">
        <w:rPr>
          <w:rFonts w:ascii="Poppins" w:eastAsia="Times New Roman" w:hAnsi="Poppins" w:cs="Poppins"/>
          <w:bCs/>
        </w:rPr>
        <w:t xml:space="preserve">dość </w:t>
      </w:r>
      <w:r w:rsidR="00F800E5" w:rsidRPr="00B050F4">
        <w:rPr>
          <w:rFonts w:ascii="Poppins" w:eastAsia="Times New Roman" w:hAnsi="Poppins" w:cs="Poppins"/>
          <w:bCs/>
        </w:rPr>
        <w:t>wyraźn</w:t>
      </w:r>
      <w:r w:rsidR="00357C92" w:rsidRPr="00B050F4">
        <w:rPr>
          <w:rFonts w:ascii="Poppins" w:eastAsia="Times New Roman" w:hAnsi="Poppins" w:cs="Poppins"/>
          <w:bCs/>
        </w:rPr>
        <w:t>e</w:t>
      </w:r>
      <w:r w:rsidR="00F800E5" w:rsidRPr="00B050F4">
        <w:rPr>
          <w:rFonts w:ascii="Poppins" w:eastAsia="Times New Roman" w:hAnsi="Poppins" w:cs="Poppins"/>
          <w:bCs/>
        </w:rPr>
        <w:t xml:space="preserve"> ożywienie w przypadku </w:t>
      </w:r>
      <w:r w:rsidR="00257955" w:rsidRPr="00B050F4">
        <w:rPr>
          <w:rFonts w:ascii="Poppins" w:eastAsia="Times New Roman" w:hAnsi="Poppins" w:cs="Poppins"/>
          <w:bCs/>
          <w:lang w:val="ru-RU"/>
        </w:rPr>
        <w:t>nowych pozwoleń na budowę lub zgłoszeń z projektem budowlanym</w:t>
      </w:r>
      <w:r w:rsidR="00096950" w:rsidRPr="00B050F4">
        <w:rPr>
          <w:rFonts w:ascii="Poppins" w:eastAsia="Times New Roman" w:hAnsi="Poppins" w:cs="Poppins"/>
          <w:bCs/>
        </w:rPr>
        <w:t>.</w:t>
      </w:r>
      <w:r w:rsidR="009E4F13" w:rsidRPr="00B050F4">
        <w:rPr>
          <w:rFonts w:ascii="Poppins" w:eastAsia="Times New Roman" w:hAnsi="Poppins" w:cs="Poppins"/>
          <w:bCs/>
        </w:rPr>
        <w:t xml:space="preserve"> </w:t>
      </w:r>
      <w:r w:rsidR="004C3219" w:rsidRPr="00B050F4">
        <w:rPr>
          <w:rFonts w:ascii="Poppins" w:eastAsia="Times New Roman" w:hAnsi="Poppins" w:cs="Poppins"/>
          <w:bCs/>
        </w:rPr>
        <w:t>W</w:t>
      </w:r>
      <w:r w:rsidR="00B4395D" w:rsidRPr="00B050F4">
        <w:rPr>
          <w:rFonts w:ascii="Poppins" w:eastAsia="Times New Roman" w:hAnsi="Poppins" w:cs="Poppins"/>
          <w:bCs/>
        </w:rPr>
        <w:t xml:space="preserve">ynik </w:t>
      </w:r>
      <w:r w:rsidR="007C77AA" w:rsidRPr="00B050F4">
        <w:rPr>
          <w:rFonts w:ascii="Poppins" w:eastAsia="Times New Roman" w:hAnsi="Poppins" w:cs="Poppins"/>
          <w:bCs/>
        </w:rPr>
        <w:t xml:space="preserve">z października </w:t>
      </w:r>
      <w:r w:rsidR="00B4395D" w:rsidRPr="00B050F4">
        <w:rPr>
          <w:rFonts w:ascii="Poppins" w:eastAsia="Times New Roman" w:hAnsi="Poppins" w:cs="Poppins"/>
          <w:bCs/>
        </w:rPr>
        <w:t xml:space="preserve">ogółem </w:t>
      </w:r>
      <w:r w:rsidR="009E4F13" w:rsidRPr="00B050F4">
        <w:rPr>
          <w:rFonts w:ascii="Poppins" w:eastAsia="Times New Roman" w:hAnsi="Poppins" w:cs="Poppins"/>
          <w:bCs/>
        </w:rPr>
        <w:t xml:space="preserve">na poziomie </w:t>
      </w:r>
      <w:r w:rsidR="00357C92" w:rsidRPr="00B050F4">
        <w:rPr>
          <w:rFonts w:ascii="Poppins" w:eastAsia="Times New Roman" w:hAnsi="Poppins" w:cs="Poppins"/>
          <w:bCs/>
        </w:rPr>
        <w:t>24</w:t>
      </w:r>
      <w:r w:rsidR="00E57B40" w:rsidRPr="00B050F4">
        <w:rPr>
          <w:rFonts w:ascii="Poppins" w:eastAsia="Times New Roman" w:hAnsi="Poppins" w:cs="Poppins"/>
          <w:bCs/>
        </w:rPr>
        <w:t>,</w:t>
      </w:r>
      <w:r w:rsidR="003F0757">
        <w:rPr>
          <w:rFonts w:ascii="Poppins" w:eastAsia="Times New Roman" w:hAnsi="Poppins" w:cs="Poppins"/>
          <w:bCs/>
        </w:rPr>
        <w:t>3</w:t>
      </w:r>
      <w:r w:rsidR="009E4F13" w:rsidRPr="00B050F4">
        <w:rPr>
          <w:rFonts w:ascii="Poppins" w:eastAsia="Times New Roman" w:hAnsi="Poppins" w:cs="Poppins"/>
          <w:bCs/>
        </w:rPr>
        <w:t xml:space="preserve"> </w:t>
      </w:r>
      <w:r w:rsidR="00B4395D" w:rsidRPr="00B050F4">
        <w:rPr>
          <w:rFonts w:ascii="Poppins" w:eastAsia="Times New Roman" w:hAnsi="Poppins" w:cs="Poppins"/>
          <w:bCs/>
        </w:rPr>
        <w:t xml:space="preserve">tys. </w:t>
      </w:r>
      <w:r w:rsidR="00B14811" w:rsidRPr="00B050F4">
        <w:rPr>
          <w:rFonts w:ascii="Poppins" w:eastAsia="Times New Roman" w:hAnsi="Poppins" w:cs="Poppins"/>
          <w:bCs/>
        </w:rPr>
        <w:t xml:space="preserve">decyzji administracyjnych </w:t>
      </w:r>
      <w:r w:rsidR="00B4395D" w:rsidRPr="00B050F4">
        <w:rPr>
          <w:rFonts w:ascii="Poppins" w:eastAsia="Times New Roman" w:hAnsi="Poppins" w:cs="Poppins"/>
          <w:bCs/>
        </w:rPr>
        <w:t xml:space="preserve">jest </w:t>
      </w:r>
      <w:r w:rsidR="00096950" w:rsidRPr="00B050F4">
        <w:rPr>
          <w:rFonts w:ascii="Poppins" w:eastAsia="Times New Roman" w:hAnsi="Poppins" w:cs="Poppins"/>
          <w:bCs/>
        </w:rPr>
        <w:t xml:space="preserve">zarówno </w:t>
      </w:r>
      <w:r w:rsidR="00B4395D" w:rsidRPr="00B050F4">
        <w:rPr>
          <w:rFonts w:ascii="Poppins" w:eastAsia="Times New Roman" w:hAnsi="Poppins" w:cs="Poppins"/>
          <w:bCs/>
        </w:rPr>
        <w:t>rok do roku</w:t>
      </w:r>
      <w:r w:rsidR="00096950" w:rsidRPr="00B050F4">
        <w:rPr>
          <w:rFonts w:ascii="Poppins" w:eastAsia="Times New Roman" w:hAnsi="Poppins" w:cs="Poppins"/>
          <w:bCs/>
        </w:rPr>
        <w:t xml:space="preserve"> jak i miesiąc do miesiąca lepszy, odpowiednio o </w:t>
      </w:r>
      <w:r w:rsidR="00E57B40" w:rsidRPr="00B050F4">
        <w:rPr>
          <w:rFonts w:ascii="Poppins" w:eastAsia="Times New Roman" w:hAnsi="Poppins" w:cs="Poppins"/>
          <w:bCs/>
        </w:rPr>
        <w:t>półtora</w:t>
      </w:r>
      <w:r w:rsidR="00096950" w:rsidRPr="00B050F4">
        <w:rPr>
          <w:rFonts w:ascii="Poppins" w:eastAsia="Times New Roman" w:hAnsi="Poppins" w:cs="Poppins"/>
          <w:bCs/>
        </w:rPr>
        <w:t xml:space="preserve"> i </w:t>
      </w:r>
      <w:r w:rsidR="00E57B40" w:rsidRPr="00B050F4">
        <w:rPr>
          <w:rFonts w:ascii="Poppins" w:eastAsia="Times New Roman" w:hAnsi="Poppins" w:cs="Poppins"/>
          <w:bCs/>
        </w:rPr>
        <w:t>6</w:t>
      </w:r>
      <w:r w:rsidR="00096950" w:rsidRPr="00B050F4">
        <w:rPr>
          <w:rFonts w:ascii="Poppins" w:eastAsia="Times New Roman" w:hAnsi="Poppins" w:cs="Poppins"/>
          <w:bCs/>
        </w:rPr>
        <w:t xml:space="preserve"> proc.</w:t>
      </w:r>
      <w:r w:rsidR="003075FC" w:rsidRPr="00B050F4">
        <w:rPr>
          <w:rFonts w:ascii="Poppins" w:eastAsia="Times New Roman" w:hAnsi="Poppins" w:cs="Poppins"/>
          <w:bCs/>
        </w:rPr>
        <w:t xml:space="preserve">  Natomiast</w:t>
      </w:r>
      <w:r w:rsidR="00A461A4" w:rsidRPr="00B050F4">
        <w:rPr>
          <w:rFonts w:ascii="Poppins" w:eastAsia="Times New Roman" w:hAnsi="Poppins" w:cs="Poppins"/>
          <w:bCs/>
        </w:rPr>
        <w:t xml:space="preserve"> </w:t>
      </w:r>
      <w:r w:rsidR="00D90C77" w:rsidRPr="00B050F4">
        <w:rPr>
          <w:rFonts w:ascii="Poppins" w:eastAsia="Times New Roman" w:hAnsi="Poppins" w:cs="Poppins"/>
          <w:bCs/>
        </w:rPr>
        <w:t>rezultat</w:t>
      </w:r>
      <w:r w:rsidR="006964D8" w:rsidRPr="00B050F4">
        <w:rPr>
          <w:rFonts w:ascii="Poppins" w:eastAsia="Times New Roman" w:hAnsi="Poppins" w:cs="Poppins"/>
          <w:bCs/>
        </w:rPr>
        <w:t xml:space="preserve"> </w:t>
      </w:r>
      <w:r w:rsidR="003075FC" w:rsidRPr="00B050F4">
        <w:rPr>
          <w:rFonts w:ascii="Poppins" w:eastAsia="Times New Roman" w:hAnsi="Poppins" w:cs="Poppins"/>
          <w:bCs/>
        </w:rPr>
        <w:t>od początku roku</w:t>
      </w:r>
      <w:r w:rsidR="00F2070A" w:rsidRPr="00B050F4">
        <w:rPr>
          <w:rFonts w:ascii="Poppins" w:eastAsia="Times New Roman" w:hAnsi="Poppins" w:cs="Poppins"/>
          <w:bCs/>
        </w:rPr>
        <w:t xml:space="preserve"> </w:t>
      </w:r>
      <w:r w:rsidR="00D90C77" w:rsidRPr="00B050F4">
        <w:rPr>
          <w:rFonts w:ascii="Poppins" w:eastAsia="Times New Roman" w:hAnsi="Poppins" w:cs="Poppins"/>
          <w:bCs/>
        </w:rPr>
        <w:t>na poziomi</w:t>
      </w:r>
      <w:r w:rsidR="004C3219" w:rsidRPr="00B050F4">
        <w:rPr>
          <w:rFonts w:ascii="Poppins" w:eastAsia="Times New Roman" w:hAnsi="Poppins" w:cs="Poppins"/>
          <w:bCs/>
        </w:rPr>
        <w:t>e</w:t>
      </w:r>
      <w:r w:rsidR="00096950" w:rsidRPr="00B050F4">
        <w:rPr>
          <w:rFonts w:ascii="Poppins" w:eastAsia="Times New Roman" w:hAnsi="Poppins" w:cs="Poppins"/>
          <w:bCs/>
        </w:rPr>
        <w:t xml:space="preserve"> </w:t>
      </w:r>
      <w:r w:rsidR="00E57B40" w:rsidRPr="00B050F4">
        <w:rPr>
          <w:rFonts w:ascii="Poppins" w:eastAsia="Times New Roman" w:hAnsi="Poppins" w:cs="Poppins"/>
          <w:bCs/>
        </w:rPr>
        <w:t>244</w:t>
      </w:r>
      <w:r w:rsidR="00B4395D" w:rsidRPr="00B050F4">
        <w:rPr>
          <w:rFonts w:ascii="Poppins" w:eastAsia="Times New Roman" w:hAnsi="Poppins" w:cs="Poppins"/>
          <w:bCs/>
        </w:rPr>
        <w:t xml:space="preserve"> tys., </w:t>
      </w:r>
      <w:r w:rsidR="00D90C77" w:rsidRPr="00B050F4">
        <w:rPr>
          <w:rFonts w:ascii="Poppins" w:eastAsia="Times New Roman" w:hAnsi="Poppins" w:cs="Poppins"/>
          <w:bCs/>
        </w:rPr>
        <w:t xml:space="preserve">jest o </w:t>
      </w:r>
      <w:r w:rsidR="00E57B40" w:rsidRPr="00B050F4">
        <w:rPr>
          <w:rFonts w:ascii="Poppins" w:eastAsia="Times New Roman" w:hAnsi="Poppins" w:cs="Poppins"/>
          <w:bCs/>
        </w:rPr>
        <w:t>blisko</w:t>
      </w:r>
      <w:r w:rsidR="00096950" w:rsidRPr="00B050F4">
        <w:rPr>
          <w:rFonts w:ascii="Poppins" w:eastAsia="Times New Roman" w:hAnsi="Poppins" w:cs="Poppins"/>
          <w:bCs/>
        </w:rPr>
        <w:t xml:space="preserve"> jedną czwartą </w:t>
      </w:r>
      <w:r w:rsidR="00E57B40" w:rsidRPr="00B050F4">
        <w:rPr>
          <w:rFonts w:ascii="Poppins" w:eastAsia="Times New Roman" w:hAnsi="Poppins" w:cs="Poppins"/>
          <w:bCs/>
        </w:rPr>
        <w:t>lepszy</w:t>
      </w:r>
      <w:r w:rsidR="00D90C77" w:rsidRPr="00B050F4">
        <w:rPr>
          <w:rFonts w:ascii="Poppins" w:eastAsia="Times New Roman" w:hAnsi="Poppins" w:cs="Poppins"/>
          <w:bCs/>
        </w:rPr>
        <w:t xml:space="preserve"> od osiągniętego</w:t>
      </w:r>
      <w:r w:rsidR="00B4395D" w:rsidRPr="00B050F4">
        <w:rPr>
          <w:rFonts w:ascii="Poppins" w:eastAsia="Times New Roman" w:hAnsi="Poppins" w:cs="Poppins"/>
          <w:bCs/>
        </w:rPr>
        <w:t xml:space="preserve"> w analogicznym okresie 202</w:t>
      </w:r>
      <w:r w:rsidR="00E57B40" w:rsidRPr="00B050F4">
        <w:rPr>
          <w:rFonts w:ascii="Poppins" w:eastAsia="Times New Roman" w:hAnsi="Poppins" w:cs="Poppins"/>
          <w:bCs/>
        </w:rPr>
        <w:t>3</w:t>
      </w:r>
      <w:r w:rsidR="00B4395D" w:rsidRPr="00B050F4">
        <w:rPr>
          <w:rFonts w:ascii="Poppins" w:eastAsia="Times New Roman" w:hAnsi="Poppins" w:cs="Poppins"/>
          <w:bCs/>
        </w:rPr>
        <w:t xml:space="preserve"> r. </w:t>
      </w:r>
    </w:p>
    <w:p w14:paraId="33F2C67B" w14:textId="5F8D3F88" w:rsidR="00357C92" w:rsidRPr="00B050F4" w:rsidRDefault="00BD559D" w:rsidP="00357C92">
      <w:pPr>
        <w:spacing w:before="120" w:after="120" w:line="240" w:lineRule="auto"/>
        <w:rPr>
          <w:rFonts w:ascii="Poppins" w:hAnsi="Poppins" w:cs="Poppins"/>
          <w:color w:val="222222"/>
          <w:shd w:val="clear" w:color="auto" w:fill="FFFFFF"/>
        </w:rPr>
      </w:pPr>
      <w:r w:rsidRPr="00B050F4">
        <w:rPr>
          <w:rFonts w:ascii="Poppins" w:hAnsi="Poppins" w:cs="Poppins"/>
          <w:color w:val="222222"/>
          <w:shd w:val="clear" w:color="auto" w:fill="FFFFFF"/>
        </w:rPr>
        <w:t>Wyraźnie</w:t>
      </w:r>
      <w:r w:rsidR="00357C92" w:rsidRPr="00B050F4">
        <w:rPr>
          <w:rFonts w:ascii="Poppins" w:hAnsi="Poppins" w:cs="Poppins"/>
          <w:color w:val="222222"/>
          <w:shd w:val="clear" w:color="auto" w:fill="FFFFFF"/>
        </w:rPr>
        <w:t xml:space="preserve"> </w:t>
      </w:r>
      <w:r w:rsidR="0007116C" w:rsidRPr="00B050F4">
        <w:rPr>
          <w:rFonts w:ascii="Poppins" w:hAnsi="Poppins" w:cs="Poppins"/>
          <w:color w:val="222222"/>
          <w:shd w:val="clear" w:color="auto" w:fill="FFFFFF"/>
        </w:rPr>
        <w:t>ożywioną</w:t>
      </w:r>
      <w:r w:rsidR="00357C92" w:rsidRPr="00B050F4">
        <w:rPr>
          <w:rFonts w:ascii="Poppins" w:hAnsi="Poppins" w:cs="Poppins"/>
          <w:color w:val="222222"/>
          <w:shd w:val="clear" w:color="auto" w:fill="FFFFFF"/>
        </w:rPr>
        <w:t xml:space="preserve"> aktywność w przypadku nowych pozwoleń</w:t>
      </w:r>
      <w:r w:rsidR="007C77AA" w:rsidRPr="00B050F4">
        <w:rPr>
          <w:rFonts w:ascii="Poppins" w:hAnsi="Poppins" w:cs="Poppins"/>
          <w:color w:val="222222"/>
          <w:shd w:val="clear" w:color="auto" w:fill="FFFFFF"/>
        </w:rPr>
        <w:t xml:space="preserve"> 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od kilkunastu miesięcy </w:t>
      </w:r>
      <w:r w:rsidR="007C77AA" w:rsidRPr="00B050F4">
        <w:rPr>
          <w:rFonts w:ascii="Poppins" w:hAnsi="Poppins" w:cs="Poppins"/>
          <w:color w:val="222222"/>
          <w:shd w:val="clear" w:color="auto" w:fill="FFFFFF"/>
        </w:rPr>
        <w:t>prezentują deweloperzy</w:t>
      </w:r>
      <w:r w:rsidR="00357C92" w:rsidRPr="00B050F4">
        <w:rPr>
          <w:rFonts w:ascii="Poppins" w:hAnsi="Poppins" w:cs="Poppins"/>
          <w:color w:val="222222"/>
          <w:shd w:val="clear" w:color="auto" w:fill="FFFFFF"/>
        </w:rPr>
        <w:t xml:space="preserve">. Osiągnięty </w:t>
      </w:r>
      <w:r w:rsidR="007C77AA" w:rsidRPr="00B050F4">
        <w:rPr>
          <w:rFonts w:ascii="Poppins" w:hAnsi="Poppins" w:cs="Poppins"/>
          <w:color w:val="222222"/>
          <w:shd w:val="clear" w:color="auto" w:fill="FFFFFF"/>
        </w:rPr>
        <w:t xml:space="preserve">przez nich </w:t>
      </w:r>
      <w:r w:rsidR="00357C92" w:rsidRPr="00B050F4">
        <w:rPr>
          <w:rFonts w:ascii="Poppins" w:hAnsi="Poppins" w:cs="Poppins"/>
          <w:color w:val="222222"/>
          <w:shd w:val="clear" w:color="auto" w:fill="FFFFFF"/>
        </w:rPr>
        <w:t xml:space="preserve">w minionym miesiącu poziom 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z górą </w:t>
      </w:r>
      <w:r w:rsidR="00357C92" w:rsidRPr="00B050F4">
        <w:rPr>
          <w:rFonts w:ascii="Poppins" w:hAnsi="Poppins" w:cs="Poppins"/>
          <w:color w:val="222222"/>
          <w:shd w:val="clear" w:color="auto" w:fill="FFFFFF"/>
        </w:rPr>
        <w:t>1</w:t>
      </w:r>
      <w:r w:rsidRPr="00B050F4">
        <w:rPr>
          <w:rFonts w:ascii="Poppins" w:hAnsi="Poppins" w:cs="Poppins"/>
          <w:color w:val="222222"/>
          <w:shd w:val="clear" w:color="auto" w:fill="FFFFFF"/>
        </w:rPr>
        <w:t>6</w:t>
      </w:r>
      <w:r w:rsidR="00357C92" w:rsidRPr="00B050F4">
        <w:rPr>
          <w:rFonts w:ascii="Poppins" w:hAnsi="Poppins" w:cs="Poppins"/>
          <w:color w:val="222222"/>
          <w:shd w:val="clear" w:color="auto" w:fill="FFFFFF"/>
        </w:rPr>
        <w:t xml:space="preserve"> tys. decyzji to już 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kolejny, </w:t>
      </w:r>
      <w:r w:rsidR="0007116C" w:rsidRPr="00B050F4">
        <w:rPr>
          <w:rFonts w:ascii="Poppins" w:hAnsi="Poppins" w:cs="Poppins"/>
          <w:color w:val="222222"/>
          <w:shd w:val="clear" w:color="auto" w:fill="FFFFFF"/>
        </w:rPr>
        <w:t>liczący się</w:t>
      </w:r>
      <w:r w:rsidR="00357C92" w:rsidRPr="00B050F4">
        <w:rPr>
          <w:rFonts w:ascii="Poppins" w:hAnsi="Poppins" w:cs="Poppins"/>
          <w:color w:val="222222"/>
          <w:shd w:val="clear" w:color="auto" w:fill="FFFFFF"/>
        </w:rPr>
        <w:t xml:space="preserve"> rezultat. Zazwyczaj ta kategoria danych jest uznawana za wykładnię optymizmu inwestycyjnego przedsiębiorców. Tym razem jednak </w:t>
      </w:r>
      <w:r w:rsidRPr="00B050F4">
        <w:rPr>
          <w:rFonts w:ascii="Poppins" w:hAnsi="Poppins" w:cs="Poppins"/>
          <w:color w:val="222222"/>
          <w:shd w:val="clear" w:color="auto" w:fill="FFFFFF"/>
        </w:rPr>
        <w:t>pozytywny trend</w:t>
      </w:r>
      <w:r w:rsidR="00357C92" w:rsidRPr="00B050F4">
        <w:rPr>
          <w:rFonts w:ascii="Poppins" w:hAnsi="Poppins" w:cs="Poppins"/>
          <w:color w:val="222222"/>
          <w:shd w:val="clear" w:color="auto" w:fill="FFFFFF"/>
        </w:rPr>
        <w:t xml:space="preserve"> w tej kategorii danych może 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być wciąż pokłosiem niedawnej </w:t>
      </w:r>
      <w:r w:rsidR="00357C92" w:rsidRPr="00B050F4">
        <w:rPr>
          <w:rFonts w:ascii="Poppins" w:hAnsi="Poppins" w:cs="Poppins"/>
          <w:color w:val="222222"/>
          <w:shd w:val="clear" w:color="auto" w:fill="FFFFFF"/>
        </w:rPr>
        <w:t>zmian</w:t>
      </w:r>
      <w:r w:rsidRPr="00B050F4">
        <w:rPr>
          <w:rFonts w:ascii="Poppins" w:hAnsi="Poppins" w:cs="Poppins"/>
          <w:color w:val="222222"/>
          <w:shd w:val="clear" w:color="auto" w:fill="FFFFFF"/>
        </w:rPr>
        <w:t>y</w:t>
      </w:r>
      <w:r w:rsidR="00357C92" w:rsidRPr="00B050F4">
        <w:rPr>
          <w:rFonts w:ascii="Poppins" w:hAnsi="Poppins" w:cs="Poppins"/>
          <w:color w:val="222222"/>
          <w:shd w:val="clear" w:color="auto" w:fill="FFFFFF"/>
        </w:rPr>
        <w:t xml:space="preserve"> rozporządzenia o warunkach technicznych</w:t>
      </w:r>
      <w:r w:rsidRPr="00B050F4">
        <w:rPr>
          <w:rFonts w:ascii="Poppins" w:hAnsi="Poppins" w:cs="Poppins"/>
          <w:color w:val="222222"/>
          <w:shd w:val="clear" w:color="auto" w:fill="FFFFFF"/>
        </w:rPr>
        <w:t>.</w:t>
      </w:r>
      <w:r w:rsidR="00357C92" w:rsidRPr="00B050F4">
        <w:rPr>
          <w:rFonts w:ascii="Poppins" w:hAnsi="Poppins" w:cs="Poppins"/>
          <w:color w:val="222222"/>
          <w:shd w:val="clear" w:color="auto" w:fill="FFFFFF"/>
        </w:rPr>
        <w:t xml:space="preserve">  </w:t>
      </w:r>
    </w:p>
    <w:p w14:paraId="23B61D82" w14:textId="3AF69EB9" w:rsidR="00AD0D82" w:rsidRPr="00B050F4" w:rsidRDefault="00D52701" w:rsidP="00CA57FA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bCs/>
        </w:rPr>
      </w:pPr>
      <w:r w:rsidRPr="00B050F4">
        <w:rPr>
          <w:rFonts w:ascii="Poppins" w:eastAsia="Times New Roman" w:hAnsi="Poppins" w:cs="Poppins"/>
          <w:bCs/>
        </w:rPr>
        <w:t xml:space="preserve">Tymczasem </w:t>
      </w:r>
      <w:r w:rsidR="00C758DA" w:rsidRPr="00B050F4">
        <w:rPr>
          <w:rFonts w:ascii="Poppins" w:eastAsia="Times New Roman" w:hAnsi="Poppins" w:cs="Poppins"/>
          <w:bCs/>
        </w:rPr>
        <w:t>statystyk</w:t>
      </w:r>
      <w:r w:rsidRPr="00B050F4">
        <w:rPr>
          <w:rFonts w:ascii="Poppins" w:eastAsia="Times New Roman" w:hAnsi="Poppins" w:cs="Poppins"/>
          <w:bCs/>
        </w:rPr>
        <w:t>i</w:t>
      </w:r>
      <w:r w:rsidR="00C758DA" w:rsidRPr="00B050F4">
        <w:rPr>
          <w:rFonts w:ascii="Poppins" w:eastAsia="Times New Roman" w:hAnsi="Poppins" w:cs="Poppins"/>
          <w:bCs/>
        </w:rPr>
        <w:t xml:space="preserve"> mieszkań oddanych do użytkowania, </w:t>
      </w:r>
      <w:r w:rsidRPr="00B050F4">
        <w:rPr>
          <w:rFonts w:ascii="Poppins" w:eastAsia="Times New Roman" w:hAnsi="Poppins" w:cs="Poppins"/>
          <w:bCs/>
        </w:rPr>
        <w:t xml:space="preserve">jak wiadomo </w:t>
      </w:r>
      <w:r w:rsidR="00BD559D" w:rsidRPr="00B050F4">
        <w:rPr>
          <w:rFonts w:ascii="Poppins" w:eastAsia="Times New Roman" w:hAnsi="Poppins" w:cs="Poppins"/>
          <w:bCs/>
        </w:rPr>
        <w:t>mniej istotne</w:t>
      </w:r>
      <w:r w:rsidRPr="00B050F4">
        <w:rPr>
          <w:rFonts w:ascii="Poppins" w:eastAsia="Times New Roman" w:hAnsi="Poppins" w:cs="Poppins"/>
          <w:bCs/>
        </w:rPr>
        <w:t xml:space="preserve"> </w:t>
      </w:r>
      <w:r w:rsidR="00CA57FA" w:rsidRPr="00B050F4">
        <w:rPr>
          <w:rFonts w:ascii="Poppins" w:eastAsia="Times New Roman" w:hAnsi="Poppins" w:cs="Poppins"/>
          <w:bCs/>
        </w:rPr>
        <w:t xml:space="preserve">dla </w:t>
      </w:r>
      <w:r w:rsidR="00C758DA" w:rsidRPr="00B050F4">
        <w:rPr>
          <w:rFonts w:ascii="Poppins" w:eastAsia="Times New Roman" w:hAnsi="Poppins" w:cs="Poppins"/>
          <w:bCs/>
        </w:rPr>
        <w:t>rozwoju</w:t>
      </w:r>
      <w:r w:rsidR="00CA57FA" w:rsidRPr="00B050F4">
        <w:rPr>
          <w:rFonts w:ascii="Poppins" w:eastAsia="Times New Roman" w:hAnsi="Poppins" w:cs="Poppins"/>
          <w:bCs/>
        </w:rPr>
        <w:t xml:space="preserve"> </w:t>
      </w:r>
      <w:r w:rsidR="00AD6F82" w:rsidRPr="00B050F4">
        <w:rPr>
          <w:rFonts w:ascii="Poppins" w:eastAsia="Times New Roman" w:hAnsi="Poppins" w:cs="Poppins"/>
          <w:bCs/>
        </w:rPr>
        <w:t xml:space="preserve">i oceny </w:t>
      </w:r>
      <w:r w:rsidR="00CA57FA" w:rsidRPr="00B050F4">
        <w:rPr>
          <w:rFonts w:ascii="Poppins" w:eastAsia="Times New Roman" w:hAnsi="Poppins" w:cs="Poppins"/>
          <w:bCs/>
        </w:rPr>
        <w:t>bieżącej koniunktury</w:t>
      </w:r>
      <w:r w:rsidRPr="00B050F4">
        <w:rPr>
          <w:rFonts w:ascii="Poppins" w:eastAsia="Times New Roman" w:hAnsi="Poppins" w:cs="Poppins"/>
          <w:bCs/>
        </w:rPr>
        <w:t xml:space="preserve">, </w:t>
      </w:r>
      <w:r w:rsidR="007C77AA" w:rsidRPr="00B050F4">
        <w:rPr>
          <w:rFonts w:ascii="Poppins" w:eastAsia="Times New Roman" w:hAnsi="Poppins" w:cs="Poppins"/>
          <w:bCs/>
        </w:rPr>
        <w:t>w dalszym ciągu kontynuują niemal comiesięczn</w:t>
      </w:r>
      <w:r w:rsidR="00BD559D" w:rsidRPr="00B050F4">
        <w:rPr>
          <w:rFonts w:ascii="Poppins" w:eastAsia="Times New Roman" w:hAnsi="Poppins" w:cs="Poppins"/>
          <w:bCs/>
        </w:rPr>
        <w:t>ą</w:t>
      </w:r>
      <w:r w:rsidR="007C77AA" w:rsidRPr="00B050F4">
        <w:rPr>
          <w:rFonts w:ascii="Poppins" w:eastAsia="Times New Roman" w:hAnsi="Poppins" w:cs="Poppins"/>
          <w:bCs/>
        </w:rPr>
        <w:t xml:space="preserve"> zmienność na względnie stałym</w:t>
      </w:r>
      <w:r w:rsidR="00BD559D" w:rsidRPr="00B050F4">
        <w:rPr>
          <w:rFonts w:ascii="Poppins" w:eastAsia="Times New Roman" w:hAnsi="Poppins" w:cs="Poppins"/>
          <w:bCs/>
        </w:rPr>
        <w:t>, jednak najniższym od lat</w:t>
      </w:r>
      <w:r w:rsidR="007C77AA" w:rsidRPr="00B050F4">
        <w:rPr>
          <w:rFonts w:ascii="Poppins" w:eastAsia="Times New Roman" w:hAnsi="Poppins" w:cs="Poppins"/>
          <w:bCs/>
        </w:rPr>
        <w:t xml:space="preserve"> poziomie. </w:t>
      </w:r>
      <w:r w:rsidR="00721068" w:rsidRPr="00B050F4">
        <w:rPr>
          <w:rFonts w:ascii="Poppins" w:eastAsia="Times New Roman" w:hAnsi="Poppins" w:cs="Poppins"/>
          <w:bCs/>
        </w:rPr>
        <w:t>W</w:t>
      </w:r>
      <w:r w:rsidR="00AE08C1" w:rsidRPr="00B050F4">
        <w:rPr>
          <w:rFonts w:ascii="Poppins" w:eastAsia="Times New Roman" w:hAnsi="Poppins" w:cs="Poppins"/>
          <w:bCs/>
        </w:rPr>
        <w:t>yni</w:t>
      </w:r>
      <w:r w:rsidR="00730750" w:rsidRPr="00B050F4">
        <w:rPr>
          <w:rFonts w:ascii="Poppins" w:eastAsia="Times New Roman" w:hAnsi="Poppins" w:cs="Poppins"/>
          <w:bCs/>
        </w:rPr>
        <w:t>k</w:t>
      </w:r>
      <w:r w:rsidR="00AE08C1" w:rsidRPr="00B050F4">
        <w:rPr>
          <w:rFonts w:ascii="Poppins" w:eastAsia="Times New Roman" w:hAnsi="Poppins" w:cs="Poppins"/>
          <w:bCs/>
        </w:rPr>
        <w:t xml:space="preserve"> ogółem</w:t>
      </w:r>
      <w:r w:rsidR="001B57CD" w:rsidRPr="00B050F4">
        <w:rPr>
          <w:rFonts w:ascii="Poppins" w:eastAsia="Times New Roman" w:hAnsi="Poppins" w:cs="Poppins"/>
          <w:bCs/>
        </w:rPr>
        <w:t xml:space="preserve"> z </w:t>
      </w:r>
      <w:r w:rsidR="007C77AA" w:rsidRPr="00B050F4">
        <w:rPr>
          <w:rFonts w:ascii="Poppins" w:eastAsia="Times New Roman" w:hAnsi="Poppins" w:cs="Poppins"/>
          <w:bCs/>
        </w:rPr>
        <w:t xml:space="preserve">października </w:t>
      </w:r>
      <w:r w:rsidR="00E86B0B" w:rsidRPr="00B050F4">
        <w:rPr>
          <w:rFonts w:ascii="Poppins" w:eastAsia="Times New Roman" w:hAnsi="Poppins" w:cs="Poppins"/>
          <w:bCs/>
        </w:rPr>
        <w:t>niewiele ponad 17</w:t>
      </w:r>
      <w:r w:rsidR="00AE08C1" w:rsidRPr="00B050F4">
        <w:rPr>
          <w:rFonts w:ascii="Poppins" w:eastAsia="Times New Roman" w:hAnsi="Poppins" w:cs="Poppins"/>
          <w:bCs/>
        </w:rPr>
        <w:t xml:space="preserve"> tys. </w:t>
      </w:r>
      <w:r w:rsidR="00361984" w:rsidRPr="00B050F4">
        <w:rPr>
          <w:rFonts w:ascii="Poppins" w:eastAsia="Times New Roman" w:hAnsi="Poppins" w:cs="Poppins"/>
          <w:bCs/>
        </w:rPr>
        <w:t xml:space="preserve">jest </w:t>
      </w:r>
      <w:r w:rsidR="00E86B0B" w:rsidRPr="00B050F4">
        <w:rPr>
          <w:rFonts w:ascii="Poppins" w:eastAsia="Times New Roman" w:hAnsi="Poppins" w:cs="Poppins"/>
          <w:bCs/>
        </w:rPr>
        <w:t>minimalnie</w:t>
      </w:r>
      <w:r w:rsidR="007C77AA" w:rsidRPr="00B050F4">
        <w:rPr>
          <w:rFonts w:ascii="Poppins" w:eastAsia="Times New Roman" w:hAnsi="Poppins" w:cs="Poppins"/>
          <w:bCs/>
        </w:rPr>
        <w:t xml:space="preserve"> lepszy w relacji miesiąc do miesiąca oraz </w:t>
      </w:r>
      <w:r w:rsidR="001B57CD" w:rsidRPr="00B050F4">
        <w:rPr>
          <w:rFonts w:ascii="Poppins" w:eastAsia="Times New Roman" w:hAnsi="Poppins" w:cs="Poppins"/>
          <w:bCs/>
        </w:rPr>
        <w:t xml:space="preserve">słabszy </w:t>
      </w:r>
      <w:r w:rsidR="007C77AA" w:rsidRPr="00B050F4">
        <w:rPr>
          <w:rFonts w:ascii="Poppins" w:eastAsia="Times New Roman" w:hAnsi="Poppins" w:cs="Poppins"/>
          <w:bCs/>
        </w:rPr>
        <w:t xml:space="preserve">o </w:t>
      </w:r>
      <w:r w:rsidR="00E86B0B" w:rsidRPr="00B050F4">
        <w:rPr>
          <w:rFonts w:ascii="Poppins" w:eastAsia="Times New Roman" w:hAnsi="Poppins" w:cs="Poppins"/>
          <w:bCs/>
        </w:rPr>
        <w:t>17</w:t>
      </w:r>
      <w:r w:rsidR="001B57CD" w:rsidRPr="00B050F4">
        <w:rPr>
          <w:rFonts w:ascii="Poppins" w:eastAsia="Times New Roman" w:hAnsi="Poppins" w:cs="Poppins"/>
          <w:bCs/>
        </w:rPr>
        <w:t xml:space="preserve"> proc. </w:t>
      </w:r>
      <w:r w:rsidR="00AD0D82" w:rsidRPr="00B050F4">
        <w:rPr>
          <w:rFonts w:ascii="Poppins" w:eastAsia="Times New Roman" w:hAnsi="Poppins" w:cs="Poppins"/>
          <w:bCs/>
        </w:rPr>
        <w:t>licząc</w:t>
      </w:r>
      <w:r w:rsidR="00C758DA" w:rsidRPr="00B050F4">
        <w:rPr>
          <w:rFonts w:ascii="Poppins" w:eastAsia="Times New Roman" w:hAnsi="Poppins" w:cs="Poppins"/>
          <w:bCs/>
        </w:rPr>
        <w:t xml:space="preserve"> rok do roku</w:t>
      </w:r>
      <w:r w:rsidR="00F5122F" w:rsidRPr="00B050F4">
        <w:rPr>
          <w:rFonts w:ascii="Poppins" w:eastAsia="Times New Roman" w:hAnsi="Poppins" w:cs="Poppins"/>
          <w:bCs/>
        </w:rPr>
        <w:t>.</w:t>
      </w:r>
      <w:r w:rsidR="00AE08C1" w:rsidRPr="00B050F4">
        <w:rPr>
          <w:rFonts w:ascii="Poppins" w:eastAsia="Times New Roman" w:hAnsi="Poppins" w:cs="Poppins"/>
          <w:bCs/>
        </w:rPr>
        <w:t xml:space="preserve"> </w:t>
      </w:r>
      <w:r w:rsidR="00E86B0B" w:rsidRPr="00B050F4">
        <w:rPr>
          <w:rFonts w:ascii="Poppins" w:eastAsia="Times New Roman" w:hAnsi="Poppins" w:cs="Poppins"/>
          <w:bCs/>
        </w:rPr>
        <w:t>Z kolei r</w:t>
      </w:r>
      <w:r w:rsidR="00361984" w:rsidRPr="00B050F4">
        <w:rPr>
          <w:rFonts w:ascii="Poppins" w:eastAsia="Times New Roman" w:hAnsi="Poppins" w:cs="Poppins"/>
          <w:bCs/>
        </w:rPr>
        <w:t xml:space="preserve">ezultat od początku roku na poziomie </w:t>
      </w:r>
      <w:r w:rsidR="00AD0D82" w:rsidRPr="00B050F4">
        <w:rPr>
          <w:rFonts w:ascii="Poppins" w:eastAsia="Times New Roman" w:hAnsi="Poppins" w:cs="Poppins"/>
          <w:bCs/>
        </w:rPr>
        <w:t>1</w:t>
      </w:r>
      <w:r w:rsidR="00E86B0B" w:rsidRPr="00B050F4">
        <w:rPr>
          <w:rFonts w:ascii="Poppins" w:eastAsia="Times New Roman" w:hAnsi="Poppins" w:cs="Poppins"/>
          <w:bCs/>
        </w:rPr>
        <w:t>62,5</w:t>
      </w:r>
      <w:r w:rsidR="00361984" w:rsidRPr="00B050F4">
        <w:rPr>
          <w:rFonts w:ascii="Poppins" w:eastAsia="Times New Roman" w:hAnsi="Poppins" w:cs="Poppins"/>
          <w:bCs/>
        </w:rPr>
        <w:t xml:space="preserve"> tys. oddanych lokali</w:t>
      </w:r>
      <w:r w:rsidR="00FB4903" w:rsidRPr="00B050F4">
        <w:rPr>
          <w:rFonts w:ascii="Poppins" w:eastAsia="Times New Roman" w:hAnsi="Poppins" w:cs="Poppins"/>
          <w:bCs/>
        </w:rPr>
        <w:t xml:space="preserve"> </w:t>
      </w:r>
      <w:r w:rsidR="001B57CD" w:rsidRPr="00B050F4">
        <w:rPr>
          <w:rFonts w:ascii="Poppins" w:eastAsia="Times New Roman" w:hAnsi="Poppins" w:cs="Poppins"/>
          <w:bCs/>
        </w:rPr>
        <w:t xml:space="preserve">jest </w:t>
      </w:r>
      <w:r w:rsidR="00AD0D82" w:rsidRPr="00B050F4">
        <w:rPr>
          <w:rFonts w:ascii="Poppins" w:eastAsia="Times New Roman" w:hAnsi="Poppins" w:cs="Poppins"/>
          <w:bCs/>
        </w:rPr>
        <w:t xml:space="preserve">o </w:t>
      </w:r>
      <w:r w:rsidR="00E86B0B" w:rsidRPr="00B050F4">
        <w:rPr>
          <w:rFonts w:ascii="Poppins" w:eastAsia="Times New Roman" w:hAnsi="Poppins" w:cs="Poppins"/>
          <w:bCs/>
        </w:rPr>
        <w:t>ponad jedną dziesiątą</w:t>
      </w:r>
      <w:r w:rsidR="001B57CD" w:rsidRPr="00B050F4">
        <w:rPr>
          <w:rFonts w:ascii="Poppins" w:eastAsia="Times New Roman" w:hAnsi="Poppins" w:cs="Poppins"/>
          <w:bCs/>
        </w:rPr>
        <w:t xml:space="preserve"> gorszy od uzyskanego w analogicznym okresie </w:t>
      </w:r>
      <w:r w:rsidR="00AD0D82" w:rsidRPr="00B050F4">
        <w:rPr>
          <w:rFonts w:ascii="Poppins" w:eastAsia="Times New Roman" w:hAnsi="Poppins" w:cs="Poppins"/>
          <w:bCs/>
        </w:rPr>
        <w:t>ub. roku.</w:t>
      </w:r>
      <w:r w:rsidR="00E86B0B" w:rsidRPr="00B050F4">
        <w:rPr>
          <w:rFonts w:ascii="Poppins" w:eastAsia="Times New Roman" w:hAnsi="Poppins" w:cs="Poppins"/>
          <w:bCs/>
        </w:rPr>
        <w:t xml:space="preserve"> W tym przypadku </w:t>
      </w:r>
      <w:r w:rsidR="00CC4CD9">
        <w:rPr>
          <w:rFonts w:ascii="Poppins" w:eastAsia="Times New Roman" w:hAnsi="Poppins" w:cs="Poppins"/>
          <w:bCs/>
        </w:rPr>
        <w:t>GUS-</w:t>
      </w:r>
      <w:r w:rsidR="00E86B0B" w:rsidRPr="00B050F4">
        <w:rPr>
          <w:rFonts w:ascii="Poppins" w:eastAsia="Times New Roman" w:hAnsi="Poppins" w:cs="Poppins"/>
          <w:bCs/>
        </w:rPr>
        <w:t xml:space="preserve">owskie wyniki są pokłosiem zapaści statystyk nowych inwestycji z drugiej połowy 2022 roku i początku roku 2023. </w:t>
      </w:r>
    </w:p>
    <w:p w14:paraId="2F571D97" w14:textId="24AE50FB" w:rsidR="00AD0D82" w:rsidRPr="00B050F4" w:rsidRDefault="00F83DA8" w:rsidP="00AD0D82">
      <w:pPr>
        <w:spacing w:before="120" w:after="120" w:line="240" w:lineRule="auto"/>
        <w:rPr>
          <w:rFonts w:ascii="Poppins" w:hAnsi="Poppins" w:cs="Poppins"/>
          <w:color w:val="222222"/>
          <w:shd w:val="clear" w:color="auto" w:fill="FFFFFF"/>
        </w:rPr>
      </w:pPr>
      <w:r w:rsidRPr="00B050F4">
        <w:rPr>
          <w:rFonts w:ascii="Poppins" w:hAnsi="Poppins" w:cs="Poppins"/>
          <w:color w:val="222222"/>
          <w:shd w:val="clear" w:color="auto" w:fill="FFFFFF"/>
        </w:rPr>
        <w:t>P</w:t>
      </w:r>
      <w:r w:rsidR="00AD0D82" w:rsidRPr="00B050F4">
        <w:rPr>
          <w:rFonts w:ascii="Poppins" w:hAnsi="Poppins" w:cs="Poppins"/>
          <w:color w:val="222222"/>
          <w:shd w:val="clear" w:color="auto" w:fill="FFFFFF"/>
        </w:rPr>
        <w:t xml:space="preserve">aździernikowe dane GUS budownictwa mieszkaniowego </w:t>
      </w:r>
      <w:r w:rsidR="00E86B0B" w:rsidRPr="00B050F4">
        <w:rPr>
          <w:rFonts w:ascii="Poppins" w:hAnsi="Poppins" w:cs="Poppins"/>
          <w:color w:val="222222"/>
          <w:shd w:val="clear" w:color="auto" w:fill="FFFFFF"/>
        </w:rPr>
        <w:t>tym razem nie rozczarowały, a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 raczej </w:t>
      </w:r>
      <w:r w:rsidR="00E86B0B" w:rsidRPr="00B050F4">
        <w:rPr>
          <w:rFonts w:ascii="Poppins" w:hAnsi="Poppins" w:cs="Poppins"/>
          <w:color w:val="222222"/>
          <w:shd w:val="clear" w:color="auto" w:fill="FFFFFF"/>
        </w:rPr>
        <w:t xml:space="preserve">zaskoczyły na plus skokowym wzrostem nowych budów 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przeznaczonych na sprzedaż lub </w:t>
      </w:r>
      <w:r w:rsidRPr="00B050F4">
        <w:rPr>
          <w:rFonts w:ascii="Poppins" w:hAnsi="Poppins" w:cs="Poppins"/>
          <w:color w:val="222222"/>
          <w:shd w:val="clear" w:color="auto" w:fill="FFFFFF"/>
        </w:rPr>
        <w:lastRenderedPageBreak/>
        <w:t>wynajem.</w:t>
      </w:r>
      <w:r w:rsidR="00E86B0B" w:rsidRPr="00B050F4">
        <w:rPr>
          <w:rFonts w:ascii="Poppins" w:hAnsi="Poppins" w:cs="Poppins"/>
          <w:color w:val="222222"/>
          <w:shd w:val="clear" w:color="auto" w:fill="FFFFFF"/>
        </w:rPr>
        <w:t xml:space="preserve"> </w:t>
      </w:r>
      <w:r w:rsidR="00AD0D82" w:rsidRPr="00B050F4">
        <w:rPr>
          <w:rFonts w:ascii="Poppins" w:hAnsi="Poppins" w:cs="Poppins"/>
          <w:color w:val="222222"/>
          <w:shd w:val="clear" w:color="auto" w:fill="FFFFFF"/>
        </w:rPr>
        <w:t xml:space="preserve">W przypadku deweloperów w </w:t>
      </w:r>
      <w:r w:rsidR="00E86B0B" w:rsidRPr="00B050F4">
        <w:rPr>
          <w:rFonts w:ascii="Poppins" w:hAnsi="Poppins" w:cs="Poppins"/>
          <w:color w:val="222222"/>
          <w:shd w:val="clear" w:color="auto" w:fill="FFFFFF"/>
        </w:rPr>
        <w:t xml:space="preserve">pełni uzasadniona wydawała się </w:t>
      </w:r>
      <w:r w:rsidR="00AD0D82" w:rsidRPr="00B050F4">
        <w:rPr>
          <w:rFonts w:ascii="Poppins" w:hAnsi="Poppins" w:cs="Poppins"/>
          <w:color w:val="222222"/>
          <w:shd w:val="clear" w:color="auto" w:fill="FFFFFF"/>
        </w:rPr>
        <w:t>obserw</w:t>
      </w:r>
      <w:r w:rsidR="00E86B0B" w:rsidRPr="00B050F4">
        <w:rPr>
          <w:rFonts w:ascii="Poppins" w:hAnsi="Poppins" w:cs="Poppins"/>
          <w:color w:val="222222"/>
          <w:shd w:val="clear" w:color="auto" w:fill="FFFFFF"/>
        </w:rPr>
        <w:t>owana od wiosny</w:t>
      </w:r>
      <w:r w:rsidR="00AD0D82" w:rsidRPr="00B050F4">
        <w:rPr>
          <w:rFonts w:ascii="Poppins" w:hAnsi="Poppins" w:cs="Poppins"/>
          <w:color w:val="222222"/>
          <w:shd w:val="clear" w:color="auto" w:fill="FFFFFF"/>
        </w:rPr>
        <w:t xml:space="preserve"> pewn</w:t>
      </w:r>
      <w:r w:rsidR="00E86B0B" w:rsidRPr="00B050F4">
        <w:rPr>
          <w:rFonts w:ascii="Poppins" w:hAnsi="Poppins" w:cs="Poppins"/>
          <w:color w:val="222222"/>
          <w:shd w:val="clear" w:color="auto" w:fill="FFFFFF"/>
        </w:rPr>
        <w:t>a</w:t>
      </w:r>
      <w:r w:rsidR="00AD0D82" w:rsidRPr="00B050F4">
        <w:rPr>
          <w:rFonts w:ascii="Poppins" w:hAnsi="Poppins" w:cs="Poppins"/>
          <w:color w:val="222222"/>
          <w:shd w:val="clear" w:color="auto" w:fill="FFFFFF"/>
        </w:rPr>
        <w:t xml:space="preserve"> asekuracj</w:t>
      </w:r>
      <w:r w:rsidR="00E86B0B" w:rsidRPr="00B050F4">
        <w:rPr>
          <w:rFonts w:ascii="Poppins" w:hAnsi="Poppins" w:cs="Poppins"/>
          <w:color w:val="222222"/>
          <w:shd w:val="clear" w:color="auto" w:fill="FFFFFF"/>
        </w:rPr>
        <w:t>a</w:t>
      </w:r>
      <w:r w:rsidR="00AD0D82" w:rsidRPr="00B050F4">
        <w:rPr>
          <w:rFonts w:ascii="Poppins" w:hAnsi="Poppins" w:cs="Poppins"/>
          <w:color w:val="222222"/>
          <w:shd w:val="clear" w:color="auto" w:fill="FFFFFF"/>
        </w:rPr>
        <w:t xml:space="preserve"> w rozpoczynaniu nowych budów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. Powinna ona bowiem dość mocno korelować z danymi sprzedażowymi nowych mieszkań, które od miesięcy wyraźnie kuleją dość zdecydowanie ustępując wolumenom nowych wprowadzeń do oferty deweloperskiej. W efekcie ta ostatnia notuje rekordowe od lat wartości, nie sygnalizując </w:t>
      </w:r>
      <w:r w:rsidR="00D74F92" w:rsidRPr="00B050F4">
        <w:rPr>
          <w:rFonts w:ascii="Poppins" w:hAnsi="Poppins" w:cs="Poppins"/>
          <w:color w:val="222222"/>
          <w:shd w:val="clear" w:color="auto" w:fill="FFFFFF"/>
        </w:rPr>
        <w:t xml:space="preserve">wciąż 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chęci do zmiany tendencji wzrostowej. </w:t>
      </w:r>
    </w:p>
    <w:p w14:paraId="457C2A31" w14:textId="0C1A5100" w:rsidR="00F83DA8" w:rsidRPr="00B050F4" w:rsidRDefault="00F83DA8" w:rsidP="00AD0D82">
      <w:pPr>
        <w:spacing w:before="120" w:after="120" w:line="240" w:lineRule="auto"/>
        <w:rPr>
          <w:rFonts w:ascii="Poppins" w:hAnsi="Poppins" w:cs="Poppins"/>
          <w:color w:val="222222"/>
          <w:shd w:val="clear" w:color="auto" w:fill="FFFFFF"/>
        </w:rPr>
      </w:pPr>
      <w:r w:rsidRPr="00B050F4">
        <w:rPr>
          <w:rFonts w:ascii="Poppins" w:hAnsi="Poppins" w:cs="Poppins"/>
          <w:color w:val="222222"/>
          <w:shd w:val="clear" w:color="auto" w:fill="FFFFFF"/>
        </w:rPr>
        <w:t xml:space="preserve">W </w:t>
      </w:r>
      <w:r w:rsidR="00FE4206" w:rsidRPr="00B050F4">
        <w:rPr>
          <w:rFonts w:ascii="Poppins" w:hAnsi="Poppins" w:cs="Poppins"/>
          <w:color w:val="222222"/>
          <w:shd w:val="clear" w:color="auto" w:fill="FFFFFF"/>
        </w:rPr>
        <w:t>t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ej sytuacji pojawia się pytanie o sens windowania nowych inwestycji przez deweloperów. </w:t>
      </w:r>
      <w:r w:rsidR="00FE4206" w:rsidRPr="00B050F4">
        <w:rPr>
          <w:rFonts w:ascii="Poppins" w:hAnsi="Poppins" w:cs="Poppins"/>
          <w:color w:val="222222"/>
          <w:shd w:val="clear" w:color="auto" w:fill="FFFFFF"/>
        </w:rPr>
        <w:t>Pytanie, c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zy </w:t>
      </w:r>
      <w:r w:rsidR="00FE4206" w:rsidRPr="00B050F4">
        <w:rPr>
          <w:rFonts w:ascii="Poppins" w:hAnsi="Poppins" w:cs="Poppins"/>
          <w:color w:val="222222"/>
          <w:shd w:val="clear" w:color="auto" w:fill="FFFFFF"/>
        </w:rPr>
        <w:t>to efekt oczekiwania na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 pozytywn</w:t>
      </w:r>
      <w:r w:rsidR="00FE4206" w:rsidRPr="00B050F4">
        <w:rPr>
          <w:rFonts w:ascii="Poppins" w:hAnsi="Poppins" w:cs="Poppins"/>
          <w:color w:val="222222"/>
          <w:shd w:val="clear" w:color="auto" w:fill="FFFFFF"/>
        </w:rPr>
        <w:t>e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 </w:t>
      </w:r>
      <w:r w:rsidR="00FE4206" w:rsidRPr="00B050F4">
        <w:rPr>
          <w:rFonts w:ascii="Poppins" w:hAnsi="Poppins" w:cs="Poppins"/>
          <w:color w:val="222222"/>
          <w:shd w:val="clear" w:color="auto" w:fill="FFFFFF"/>
        </w:rPr>
        <w:t>rozstrzygnięcia</w:t>
      </w:r>
      <w:r w:rsidRPr="00B050F4">
        <w:rPr>
          <w:rFonts w:ascii="Poppins" w:hAnsi="Poppins" w:cs="Poppins"/>
          <w:color w:val="222222"/>
          <w:shd w:val="clear" w:color="auto" w:fill="FFFFFF"/>
        </w:rPr>
        <w:t xml:space="preserve"> w kwestii kolejnego programu dopłat do kredytów </w:t>
      </w:r>
      <w:r w:rsidR="00FE4206" w:rsidRPr="00B050F4">
        <w:rPr>
          <w:rFonts w:ascii="Poppins" w:hAnsi="Poppins" w:cs="Poppins"/>
          <w:color w:val="222222"/>
          <w:shd w:val="clear" w:color="auto" w:fill="FFFFFF"/>
        </w:rPr>
        <w:t>mieszkaniowych</w:t>
      </w:r>
      <w:r w:rsidRPr="00B050F4">
        <w:rPr>
          <w:rFonts w:ascii="Poppins" w:hAnsi="Poppins" w:cs="Poppins"/>
          <w:color w:val="222222"/>
          <w:shd w:val="clear" w:color="auto" w:fill="FFFFFF"/>
        </w:rPr>
        <w:t>, cz</w:t>
      </w:r>
      <w:r w:rsidR="00FE4206" w:rsidRPr="00B050F4">
        <w:rPr>
          <w:rFonts w:ascii="Poppins" w:hAnsi="Poppins" w:cs="Poppins"/>
          <w:color w:val="222222"/>
          <w:shd w:val="clear" w:color="auto" w:fill="FFFFFF"/>
        </w:rPr>
        <w:t xml:space="preserve">y może na początek ścieżki obniżek stóp procentowych już od początku nowego roku. Tak czy inaczej najnowsze dane GUS budownictwa mieszkaniowego dają do myślenia, zapowiadając być może ciekawe rozstrzygnięcia w kwestii rozwoju koniunktury pierwotnego segmentu mieszkaniówki już w bezpośredniej perspektywie. </w:t>
      </w:r>
    </w:p>
    <w:p w14:paraId="3C17087E" w14:textId="77777777" w:rsidR="00AD0D82" w:rsidRPr="00AD0D82" w:rsidRDefault="00AD0D82" w:rsidP="00AD0D82">
      <w:pPr>
        <w:spacing w:before="120" w:after="120" w:line="240" w:lineRule="auto"/>
        <w:rPr>
          <w:rFonts w:cstheme="minorHAnsi"/>
        </w:rPr>
      </w:pPr>
    </w:p>
    <w:p w14:paraId="6270483E" w14:textId="77777777" w:rsidR="00AD0D82" w:rsidRDefault="00AD0D82" w:rsidP="00CA57FA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bCs/>
        </w:rPr>
      </w:pPr>
    </w:p>
    <w:p w14:paraId="267D330A" w14:textId="77777777" w:rsidR="00AD0D82" w:rsidRDefault="00AD0D82" w:rsidP="00CA57FA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bCs/>
        </w:rPr>
      </w:pPr>
    </w:p>
    <w:p w14:paraId="7737E1BA" w14:textId="089064F1" w:rsidR="00730750" w:rsidRPr="002F7D28" w:rsidRDefault="00FB4903" w:rsidP="00CA57FA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bCs/>
        </w:rPr>
      </w:pPr>
      <w:r w:rsidRPr="002F7D28">
        <w:rPr>
          <w:rFonts w:ascii="Calibri" w:eastAsia="Times New Roman" w:hAnsi="Calibri" w:cs="Calibri"/>
          <w:bCs/>
        </w:rPr>
        <w:t xml:space="preserve"> </w:t>
      </w:r>
    </w:p>
    <w:sectPr w:rsidR="00730750" w:rsidRPr="002F7D28" w:rsidSect="00C14B4B">
      <w:headerReference w:type="default" r:id="rId9"/>
      <w:pgSz w:w="11906" w:h="16838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907FA" w14:textId="77777777" w:rsidR="001A79AB" w:rsidRDefault="001A79AB" w:rsidP="00E533BD">
      <w:pPr>
        <w:spacing w:after="0" w:line="240" w:lineRule="auto"/>
      </w:pPr>
      <w:r>
        <w:separator/>
      </w:r>
    </w:p>
  </w:endnote>
  <w:endnote w:type="continuationSeparator" w:id="0">
    <w:p w14:paraId="1019E2AF" w14:textId="77777777" w:rsidR="001A79AB" w:rsidRDefault="001A79AB" w:rsidP="00E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441F" w14:textId="77777777" w:rsidR="001A79AB" w:rsidRDefault="001A79AB" w:rsidP="00E533BD">
      <w:pPr>
        <w:spacing w:after="0" w:line="240" w:lineRule="auto"/>
      </w:pPr>
      <w:r>
        <w:separator/>
      </w:r>
    </w:p>
  </w:footnote>
  <w:footnote w:type="continuationSeparator" w:id="0">
    <w:p w14:paraId="71E96BC0" w14:textId="77777777" w:rsidR="001A79AB" w:rsidRDefault="001A79AB" w:rsidP="00E5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483D" w14:textId="31C0457E" w:rsidR="00E533BD" w:rsidRDefault="00DA7D8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49997B" wp14:editId="064C2B69">
          <wp:simplePos x="0" y="0"/>
          <wp:positionH relativeFrom="page">
            <wp:posOffset>28575</wp:posOffset>
          </wp:positionH>
          <wp:positionV relativeFrom="paragraph">
            <wp:posOffset>-624205</wp:posOffset>
          </wp:positionV>
          <wp:extent cx="7496810" cy="1033145"/>
          <wp:effectExtent l="0" t="0" r="0" b="0"/>
          <wp:wrapThrough wrapText="bothSides">
            <wp:wrapPolygon edited="0">
              <wp:start x="1427" y="4779"/>
              <wp:lineTo x="1153" y="6771"/>
              <wp:lineTo x="878" y="9559"/>
              <wp:lineTo x="933" y="15533"/>
              <wp:lineTo x="9331" y="18321"/>
              <wp:lineTo x="19211" y="19117"/>
              <wp:lineTo x="20693" y="19117"/>
              <wp:lineTo x="20693" y="18321"/>
              <wp:lineTo x="18717" y="11948"/>
              <wp:lineTo x="18826" y="8364"/>
              <wp:lineTo x="16302" y="7567"/>
              <wp:lineTo x="1921" y="4779"/>
              <wp:lineTo x="1427" y="4779"/>
            </wp:wrapPolygon>
          </wp:wrapThrough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" r="7"/>
                  <a:stretch>
                    <a:fillRect/>
                  </a:stretch>
                </pic:blipFill>
                <pic:spPr>
                  <a:xfrm>
                    <a:off x="0" y="0"/>
                    <a:ext cx="7496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06C">
      <w:ptab w:relativeTo="margin" w:alignment="center" w:leader="none"/>
    </w:r>
    <w:r w:rsidR="00FB7A20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D"/>
    <w:rsid w:val="000061D9"/>
    <w:rsid w:val="00015897"/>
    <w:rsid w:val="00027A39"/>
    <w:rsid w:val="0004663A"/>
    <w:rsid w:val="00062C74"/>
    <w:rsid w:val="0007116C"/>
    <w:rsid w:val="00096950"/>
    <w:rsid w:val="000A5AA7"/>
    <w:rsid w:val="000B715F"/>
    <w:rsid w:val="000C02C3"/>
    <w:rsid w:val="000C48D0"/>
    <w:rsid w:val="000E61D4"/>
    <w:rsid w:val="000F0B92"/>
    <w:rsid w:val="00122085"/>
    <w:rsid w:val="001554DB"/>
    <w:rsid w:val="00160B41"/>
    <w:rsid w:val="00172F9B"/>
    <w:rsid w:val="0017363F"/>
    <w:rsid w:val="001741B5"/>
    <w:rsid w:val="00176DE5"/>
    <w:rsid w:val="00182A25"/>
    <w:rsid w:val="0018306C"/>
    <w:rsid w:val="001867D6"/>
    <w:rsid w:val="001A010B"/>
    <w:rsid w:val="001A137B"/>
    <w:rsid w:val="001A220F"/>
    <w:rsid w:val="001A79AB"/>
    <w:rsid w:val="001B57CD"/>
    <w:rsid w:val="001D2F4A"/>
    <w:rsid w:val="001D7BD8"/>
    <w:rsid w:val="00210D5D"/>
    <w:rsid w:val="002334FD"/>
    <w:rsid w:val="00243E49"/>
    <w:rsid w:val="00244399"/>
    <w:rsid w:val="00246706"/>
    <w:rsid w:val="00257955"/>
    <w:rsid w:val="00284EEC"/>
    <w:rsid w:val="00293F01"/>
    <w:rsid w:val="002C3A0A"/>
    <w:rsid w:val="002E6753"/>
    <w:rsid w:val="002F041C"/>
    <w:rsid w:val="002F56D2"/>
    <w:rsid w:val="002F7D28"/>
    <w:rsid w:val="003075FC"/>
    <w:rsid w:val="0033721C"/>
    <w:rsid w:val="00342F67"/>
    <w:rsid w:val="003537A0"/>
    <w:rsid w:val="00356B74"/>
    <w:rsid w:val="00357C92"/>
    <w:rsid w:val="00361984"/>
    <w:rsid w:val="00364425"/>
    <w:rsid w:val="00387A8C"/>
    <w:rsid w:val="003A4348"/>
    <w:rsid w:val="003B4C11"/>
    <w:rsid w:val="003B6BC2"/>
    <w:rsid w:val="003C372A"/>
    <w:rsid w:val="003D2951"/>
    <w:rsid w:val="003E1944"/>
    <w:rsid w:val="003F0757"/>
    <w:rsid w:val="004301AC"/>
    <w:rsid w:val="00446D9A"/>
    <w:rsid w:val="004616F8"/>
    <w:rsid w:val="00463366"/>
    <w:rsid w:val="00492B71"/>
    <w:rsid w:val="004B61F7"/>
    <w:rsid w:val="004C3219"/>
    <w:rsid w:val="004C501C"/>
    <w:rsid w:val="00505703"/>
    <w:rsid w:val="00507867"/>
    <w:rsid w:val="005111BF"/>
    <w:rsid w:val="00565B3F"/>
    <w:rsid w:val="00566C27"/>
    <w:rsid w:val="005710D7"/>
    <w:rsid w:val="005756AC"/>
    <w:rsid w:val="00595348"/>
    <w:rsid w:val="00596A28"/>
    <w:rsid w:val="005A47F4"/>
    <w:rsid w:val="005A5F9F"/>
    <w:rsid w:val="005E154B"/>
    <w:rsid w:val="005F13C6"/>
    <w:rsid w:val="005F30F3"/>
    <w:rsid w:val="005F4CFD"/>
    <w:rsid w:val="005F4DA8"/>
    <w:rsid w:val="0060482D"/>
    <w:rsid w:val="00615AFA"/>
    <w:rsid w:val="006170B5"/>
    <w:rsid w:val="006253F4"/>
    <w:rsid w:val="00645BE8"/>
    <w:rsid w:val="00693D0A"/>
    <w:rsid w:val="006964D8"/>
    <w:rsid w:val="00697815"/>
    <w:rsid w:val="006A4545"/>
    <w:rsid w:val="006D6B44"/>
    <w:rsid w:val="006F1831"/>
    <w:rsid w:val="00704809"/>
    <w:rsid w:val="00721068"/>
    <w:rsid w:val="00730750"/>
    <w:rsid w:val="0073765C"/>
    <w:rsid w:val="00763DC9"/>
    <w:rsid w:val="00786850"/>
    <w:rsid w:val="007A7D72"/>
    <w:rsid w:val="007C137A"/>
    <w:rsid w:val="007C74B4"/>
    <w:rsid w:val="007C77AA"/>
    <w:rsid w:val="007D3FE5"/>
    <w:rsid w:val="007F17D6"/>
    <w:rsid w:val="007F6FAC"/>
    <w:rsid w:val="0081156C"/>
    <w:rsid w:val="00825AD9"/>
    <w:rsid w:val="00853BC9"/>
    <w:rsid w:val="00873D28"/>
    <w:rsid w:val="008856BE"/>
    <w:rsid w:val="008874CD"/>
    <w:rsid w:val="00887C32"/>
    <w:rsid w:val="00893252"/>
    <w:rsid w:val="008C55BD"/>
    <w:rsid w:val="008D5573"/>
    <w:rsid w:val="008F7B1C"/>
    <w:rsid w:val="0090494B"/>
    <w:rsid w:val="00910BCB"/>
    <w:rsid w:val="0091278B"/>
    <w:rsid w:val="00915D87"/>
    <w:rsid w:val="00916B96"/>
    <w:rsid w:val="009362EF"/>
    <w:rsid w:val="00971224"/>
    <w:rsid w:val="009778CD"/>
    <w:rsid w:val="009A324B"/>
    <w:rsid w:val="009E4F13"/>
    <w:rsid w:val="009E5EF8"/>
    <w:rsid w:val="009E6716"/>
    <w:rsid w:val="00A30585"/>
    <w:rsid w:val="00A43D39"/>
    <w:rsid w:val="00A461A4"/>
    <w:rsid w:val="00A63A9A"/>
    <w:rsid w:val="00AA1671"/>
    <w:rsid w:val="00AB53BD"/>
    <w:rsid w:val="00AC1DD7"/>
    <w:rsid w:val="00AC2DDE"/>
    <w:rsid w:val="00AC5992"/>
    <w:rsid w:val="00AD0D82"/>
    <w:rsid w:val="00AD6F82"/>
    <w:rsid w:val="00AE08C1"/>
    <w:rsid w:val="00AF29C6"/>
    <w:rsid w:val="00AF591C"/>
    <w:rsid w:val="00B01458"/>
    <w:rsid w:val="00B050F4"/>
    <w:rsid w:val="00B06952"/>
    <w:rsid w:val="00B10E83"/>
    <w:rsid w:val="00B14811"/>
    <w:rsid w:val="00B17444"/>
    <w:rsid w:val="00B229FA"/>
    <w:rsid w:val="00B4395D"/>
    <w:rsid w:val="00B43F54"/>
    <w:rsid w:val="00B771C5"/>
    <w:rsid w:val="00B8260E"/>
    <w:rsid w:val="00B93793"/>
    <w:rsid w:val="00BA7DDD"/>
    <w:rsid w:val="00BD559D"/>
    <w:rsid w:val="00BF2F46"/>
    <w:rsid w:val="00BF49A3"/>
    <w:rsid w:val="00C12248"/>
    <w:rsid w:val="00C14B4B"/>
    <w:rsid w:val="00C35B7E"/>
    <w:rsid w:val="00C535CF"/>
    <w:rsid w:val="00C627CF"/>
    <w:rsid w:val="00C66031"/>
    <w:rsid w:val="00C74329"/>
    <w:rsid w:val="00C743C2"/>
    <w:rsid w:val="00C74A53"/>
    <w:rsid w:val="00C758DA"/>
    <w:rsid w:val="00C840B5"/>
    <w:rsid w:val="00C93B94"/>
    <w:rsid w:val="00CA57FA"/>
    <w:rsid w:val="00CC4CD9"/>
    <w:rsid w:val="00D22B50"/>
    <w:rsid w:val="00D25E20"/>
    <w:rsid w:val="00D3651B"/>
    <w:rsid w:val="00D40E0D"/>
    <w:rsid w:val="00D52701"/>
    <w:rsid w:val="00D61549"/>
    <w:rsid w:val="00D6784E"/>
    <w:rsid w:val="00D74F92"/>
    <w:rsid w:val="00D76E08"/>
    <w:rsid w:val="00D81BA6"/>
    <w:rsid w:val="00D90C77"/>
    <w:rsid w:val="00DA7D8F"/>
    <w:rsid w:val="00DC1A62"/>
    <w:rsid w:val="00DD6A44"/>
    <w:rsid w:val="00DF48A6"/>
    <w:rsid w:val="00E25AAC"/>
    <w:rsid w:val="00E474C0"/>
    <w:rsid w:val="00E533BD"/>
    <w:rsid w:val="00E54719"/>
    <w:rsid w:val="00E57B40"/>
    <w:rsid w:val="00E72430"/>
    <w:rsid w:val="00E86B0B"/>
    <w:rsid w:val="00E87FEB"/>
    <w:rsid w:val="00E92199"/>
    <w:rsid w:val="00EA257E"/>
    <w:rsid w:val="00EA269B"/>
    <w:rsid w:val="00EB6D21"/>
    <w:rsid w:val="00EC797E"/>
    <w:rsid w:val="00ED61B2"/>
    <w:rsid w:val="00EE0103"/>
    <w:rsid w:val="00EF34AD"/>
    <w:rsid w:val="00EF5C9E"/>
    <w:rsid w:val="00F020BE"/>
    <w:rsid w:val="00F04A7F"/>
    <w:rsid w:val="00F158BF"/>
    <w:rsid w:val="00F2070A"/>
    <w:rsid w:val="00F325B4"/>
    <w:rsid w:val="00F44E1D"/>
    <w:rsid w:val="00F4588D"/>
    <w:rsid w:val="00F5122F"/>
    <w:rsid w:val="00F800E5"/>
    <w:rsid w:val="00F83DA8"/>
    <w:rsid w:val="00FA42CC"/>
    <w:rsid w:val="00FB4903"/>
    <w:rsid w:val="00FB7A20"/>
    <w:rsid w:val="00FE4206"/>
    <w:rsid w:val="00FF1AE0"/>
    <w:rsid w:val="00FF3AAC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EF5DA"/>
  <w15:docId w15:val="{45A1551F-35D7-4269-B5F6-A06E1549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3BD"/>
  </w:style>
  <w:style w:type="paragraph" w:styleId="Stopka">
    <w:name w:val="footer"/>
    <w:basedOn w:val="Normalny"/>
    <w:link w:val="Stopka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BD"/>
  </w:style>
  <w:style w:type="character" w:styleId="Hipercze">
    <w:name w:val="Hyperlink"/>
    <w:basedOn w:val="Domylnaczcionkaakapitu"/>
    <w:uiPriority w:val="99"/>
    <w:unhideWhenUsed/>
    <w:rsid w:val="00910B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nekpierwotny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A948-74EE-46C4-AA71-52FAB67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Kazimierczak</dc:creator>
  <cp:keywords/>
  <dc:description/>
  <cp:lastModifiedBy>Mikołaj Ostrowski</cp:lastModifiedBy>
  <cp:revision>6</cp:revision>
  <cp:lastPrinted>2022-08-09T11:51:00Z</cp:lastPrinted>
  <dcterms:created xsi:type="dcterms:W3CDTF">2024-11-21T11:39:00Z</dcterms:created>
  <dcterms:modified xsi:type="dcterms:W3CDTF">2024-11-22T10:48:00Z</dcterms:modified>
</cp:coreProperties>
</file>